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5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eastAsia="Arial" w:cs="Arial"/>
          <w:b/>
          <w:color w:val="000000"/>
          <w:sz w:val="36"/>
          <w:szCs w:val="36"/>
        </w:rPr>
        <w:t xml:space="preserve">Threat Intelligence Integration</w:t>
      </w:r>
      <w:r>
        <w:rPr>
          <w:rFonts w:ascii="Arial" w:hAnsi="Arial" w:eastAsia="Arial" w:cs="Arial"/>
          <w:b/>
          <w:color w:val="000000"/>
          <w:sz w:val="36"/>
          <w:szCs w:val="36"/>
          <w:lang w:val="en-IN"/>
        </w:rPr>
        <w:t xml:space="preserve"> Report</w:t>
      </w:r>
      <w:r>
        <w:rPr>
          <w:rFonts w:ascii="Arial" w:hAnsi="Arial" w:cs="Arial"/>
          <w:sz w:val="36"/>
          <w:szCs w:val="36"/>
        </w:rPr>
      </w:r>
      <w:r>
        <w:rPr>
          <w:rFonts w:ascii="Arial" w:hAnsi="Arial" w:cs="Arial"/>
          <w:sz w:val="36"/>
          <w:szCs w:val="36"/>
        </w:rPr>
      </w:r>
    </w:p>
    <w:p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1. Executive Summary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This report documents the integration of external threat intelligence into Wazuh using AlienVault OTX feeds. A malicious IP address (192.168.1.100) was detected and enriched with threat intelligence data. </w:t>
      </w:r>
      <w:r>
        <w:rPr>
          <w:rFonts w:ascii="Arial" w:hAnsi="Arial" w:eastAsia="Arial" w:cs="Arial"/>
          <w:color w:val="000000"/>
          <w:sz w:val="22"/>
          <w:szCs w:val="22"/>
          <w:lang w:val="en-IN"/>
        </w:rPr>
        <w:t xml:space="preserve">T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hreat hunting identified activity aligned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with MITRE ATT&amp;CK technique T1078 (Valid Accounts), indicating potential credential misuse or account compromise.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2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. Environment </w:t>
      </w: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and Tools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919"/>
        <w:numPr>
          <w:ilvl w:val="0"/>
          <w:numId w:val="9"/>
        </w:numPr>
        <w:pBdr/>
        <w:spacing w:line="360" w:lineRule="auto"/>
        <w:ind/>
        <w:rPr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IN"/>
        </w:rPr>
        <w:t xml:space="preserve">SIEM: Wazuh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Style w:val="919"/>
        <w:numPr>
          <w:ilvl w:val="0"/>
          <w:numId w:val="9"/>
        </w:numPr>
        <w:pBdr/>
        <w:spacing w:line="360" w:lineRule="auto"/>
        <w:ind/>
        <w:rPr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IN"/>
        </w:rPr>
        <w:t xml:space="preserve">Threat Intel: AlienVault OTX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Style w:val="919"/>
        <w:numPr>
          <w:ilvl w:val="0"/>
          <w:numId w:val="9"/>
        </w:numPr>
        <w:pBdr/>
        <w:spacing w:line="360" w:lineRule="auto"/>
        <w:ind/>
        <w:rPr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IN"/>
        </w:rPr>
        <w:t xml:space="preserve">Data Sources: Authentication logs, network traffic logs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Style w:val="919"/>
        <w:numPr>
          <w:ilvl w:val="0"/>
          <w:numId w:val="9"/>
        </w:numPr>
        <w:pBdr/>
        <w:spacing w:line="360" w:lineRule="auto"/>
        <w:ind/>
        <w:rPr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IN"/>
        </w:rPr>
        <w:t xml:space="preserve">Framework: MITRE ATT&amp;CK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3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. Threat Feed Integration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AlienVault OTX threat feeds were imported into Wazuh. The integration enabled real-time matching of IOCs such as malicious IP addresses against incoming logs.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Test IOC: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19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IP Address: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192.168.1.100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Result: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19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Wazuh successfully matched the IP against AlienVault OTX pulses.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19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The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IP was flagged as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malicious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IN"/>
        </w:rPr>
        <w:t xml:space="preserve">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19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line="360" w:lineRule="auto"/>
        <w:ind w:right="0"/>
        <w:jc w:val="both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An alert was generated for further investigation.</w:t>
      </w:r>
      <w:r>
        <w:rPr>
          <w:rFonts w:ascii="Arial" w:hAnsi="Arial" w:eastAsia="Arial" w:cs="Arial"/>
          <w:color w:val="000000"/>
          <w:sz w:val="22"/>
          <w:szCs w:val="22"/>
        </w:rPr>
      </w:r>
      <w:r>
        <w:rPr>
          <w:rFonts w:ascii="Arial" w:hAnsi="Arial" w:eastAsia="Arial" w:cs="Arial"/>
          <w:color w:val="000000"/>
          <w:sz w:val="22"/>
          <w:szCs w:val="22"/>
        </w:rPr>
      </w:r>
    </w:p>
    <w:tbl>
      <w:tblPr>
        <w:tblStyle w:val="777"/>
        <w:jc w:val="center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860"/>
        <w:gridCol w:w="1437"/>
        <w:gridCol w:w="1673"/>
        <w:gridCol w:w="265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Alert ID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37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IP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3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Reputation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55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Notes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00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3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37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192.168.1.100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3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Malicious (OTX)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55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Linked to C2 server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</w:tbl>
    <w:p>
      <w:pPr>
        <w:pStyle w:val="930"/>
        <w:pBdr/>
        <w:spacing/>
        <w:ind/>
        <w:jc w:val="center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Table </w:t>
      </w:r>
      <w:r>
        <w:rPr>
          <w:color w:val="000000" w:themeColor="text1"/>
          <w:sz w:val="22"/>
          <w:szCs w:val="22"/>
        </w:rPr>
        <w:fldChar w:fldCharType="begin"/>
        <w:instrText xml:space="preserve"> SEQ Table \* Arabic </w:instrText>
        <w:fldChar w:fldCharType="separate"/>
      </w:r>
      <w:r>
        <w:rPr>
          <w:color w:val="000000" w:themeColor="text1"/>
          <w:sz w:val="22"/>
          <w:szCs w:val="22"/>
        </w:rPr>
        <w:t xml:space="preserve">1</w:t>
      </w:r>
      <w:r>
        <w:rPr>
          <w:color w:val="000000" w:themeColor="text1"/>
          <w:sz w:val="22"/>
          <w:szCs w:val="22"/>
        </w:rPr>
        <w:fldChar w:fldCharType="end"/>
      </w:r>
      <w:r>
        <w:rPr>
          <w:color w:val="000000" w:themeColor="text1"/>
          <w:sz w:val="22"/>
          <w:szCs w:val="22"/>
        </w:rPr>
        <w:t xml:space="preserve">: Alert 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4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. Threat Hunting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MITRE ATT&amp;CK Technique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1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Technique ID: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T1078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1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Name: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Valid Accounts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1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Tactic: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Defense Evasion / Persistence / Privilege Escalation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Observations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19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Authentication events were observed from non-system user accounts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19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Repeated login activity patterns were identified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19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Behavior was inconsistent with normal baseline user activity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5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. Recommended A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ctions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919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227"/>
        </w:tabs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Reset credentials for affected user accounts</w:t>
      </w:r>
      <w:r>
        <w:rPr>
          <w:rFonts w:ascii="Arial" w:hAnsi="Arial" w:eastAsia="Arial" w:cs="Arial"/>
          <w:sz w:val="22"/>
          <w:szCs w:val="22"/>
          <w:lang w:val="en-IN"/>
        </w:rPr>
        <w:t xml:space="preserve">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19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Enable Multi-Factor Authentication (MFA)</w:t>
      </w:r>
      <w:r>
        <w:rPr>
          <w:rFonts w:ascii="Arial" w:hAnsi="Arial" w:eastAsia="Arial" w:cs="Arial"/>
          <w:color w:val="000000"/>
          <w:sz w:val="22"/>
          <w:szCs w:val="22"/>
          <w:lang w:val="en-IN"/>
        </w:rPr>
        <w:t xml:space="preserve">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19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Block malicious IP (192.168.1.100) at firewall and endpoint level</w:t>
      </w:r>
      <w:r>
        <w:rPr>
          <w:rFonts w:ascii="Arial" w:hAnsi="Arial" w:eastAsia="Arial" w:cs="Arial"/>
          <w:sz w:val="22"/>
          <w:szCs w:val="22"/>
          <w:lang w:val="en-IN"/>
        </w:rPr>
        <w:t xml:space="preserve"> or using CrowdSec.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19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Increase monitoring for authentication anomalies</w:t>
      </w:r>
      <w:r>
        <w:rPr>
          <w:rFonts w:ascii="Arial" w:hAnsi="Arial" w:eastAsia="Arial" w:cs="Arial"/>
          <w:color w:val="000000"/>
          <w:sz w:val="22"/>
          <w:szCs w:val="22"/>
          <w:lang w:val="en-IN"/>
        </w:rPr>
        <w:t xml:space="preserve">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5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6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. Conclusion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Threat hunting revealed activity consistent with MITRE ATT&amp;CK T1078 (Valid Accounts), where non-system user accounts performed repeated authentication actions. Combined with malicious IP intelligence from AlienVault OTX, this suggests possible credential c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ompromise or unauthorized access, warranting deeper investigation and credential review.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sectPr>
      <w:headerReference w:type="default" r:id="rId9"/>
      <w:footerReference w:type="default" r:id="rId10"/>
      <w:footnotePr/>
      <w:endnotePr/>
      <w:type w:val="nextPage"/>
      <w:pgSz w:h="16834" w:orient="portrait" w:w="11909"/>
      <w:pgMar w:top="1440" w:right="1440" w:bottom="1440" w:left="1440" w:header="576" w:footer="432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0" cy="19050"/>
              <wp:effectExtent l="0" t="0" r="0" b="0"/>
              <wp:docPr id="2" name="_x0000_i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  <w:r/>
  </w:p>
  <w:p>
    <w:pPr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0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-342899</wp:posOffset>
              </wp:positionV>
              <wp:extent cx="7582875" cy="1023938"/>
              <wp:effectExtent l="0" t="0" r="0" b="0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6796" r="0" b="0"/>
                      <a:stretch/>
                    </pic:blipFill>
                    <pic:spPr bwMode="auto">
                      <a:xfrm flipH="0" flipV="0">
                        <a:off x="0" y="0"/>
                        <a:ext cx="7582874" cy="102393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72.00pt;mso-position-horizontal:absolute;mso-position-vertical-relative:text;margin-top:-27.00pt;mso-position-vertical:absolute;width:597.08pt;height:80.63pt;mso-wrap-distance-left:9.00pt;mso-wrap-distance-top:9.00pt;mso-wrap-distance-right:9.00pt;mso-wrap-distance-bottom:9.00pt;z-index:1;">
              <w10:wrap type="topAndBottom"/>
              <v:imagedata r:id="rId1" o:title="" croptop="4454f" cropleft="0f" cropbottom="0f" cropright="0f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C7ED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E533D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D985E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6BB1BE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B7534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F533B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5AF46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6609B5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6E55917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7F75AB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I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7">
    <w:name w:val="Table Grid"/>
    <w:basedOn w:val="9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 Light"/>
    <w:basedOn w:val="9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1"/>
    <w:basedOn w:val="9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2"/>
    <w:basedOn w:val="9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1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2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3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4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5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6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1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2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3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4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5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6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1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2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3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4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5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6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3">
    <w:name w:val="Heading 7"/>
    <w:basedOn w:val="951"/>
    <w:next w:val="951"/>
    <w:link w:val="91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4">
    <w:name w:val="Heading 8"/>
    <w:basedOn w:val="951"/>
    <w:next w:val="951"/>
    <w:link w:val="91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5">
    <w:name w:val="Heading 9"/>
    <w:basedOn w:val="951"/>
    <w:next w:val="951"/>
    <w:link w:val="91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6">
    <w:name w:val="Heading 1 Char"/>
    <w:basedOn w:val="958"/>
    <w:link w:val="9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7">
    <w:name w:val="Heading 2 Char"/>
    <w:basedOn w:val="958"/>
    <w:link w:val="9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8">
    <w:name w:val="Heading 3 Char"/>
    <w:basedOn w:val="958"/>
    <w:link w:val="9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9">
    <w:name w:val="Heading 4 Char"/>
    <w:basedOn w:val="958"/>
    <w:link w:val="95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0">
    <w:name w:val="Heading 5 Char"/>
    <w:basedOn w:val="958"/>
    <w:link w:val="9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1">
    <w:name w:val="Heading 6 Char"/>
    <w:basedOn w:val="958"/>
    <w:link w:val="95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2">
    <w:name w:val="Heading 7 Char"/>
    <w:basedOn w:val="958"/>
    <w:link w:val="9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3">
    <w:name w:val="Heading 8 Char"/>
    <w:basedOn w:val="958"/>
    <w:link w:val="9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4">
    <w:name w:val="Heading 9 Char"/>
    <w:basedOn w:val="958"/>
    <w:link w:val="9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5">
    <w:name w:val="Title Char"/>
    <w:basedOn w:val="958"/>
    <w:link w:val="9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16">
    <w:name w:val="Subtitle Char"/>
    <w:basedOn w:val="958"/>
    <w:link w:val="96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7">
    <w:name w:val="Quote"/>
    <w:basedOn w:val="951"/>
    <w:next w:val="951"/>
    <w:link w:val="91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8">
    <w:name w:val="Quote Char"/>
    <w:basedOn w:val="958"/>
    <w:link w:val="91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19">
    <w:name w:val="List Paragraph"/>
    <w:basedOn w:val="951"/>
    <w:uiPriority w:val="34"/>
    <w:qFormat/>
    <w:pPr>
      <w:pBdr/>
      <w:spacing/>
      <w:ind w:left="720"/>
      <w:contextualSpacing w:val="true"/>
    </w:pPr>
  </w:style>
  <w:style w:type="character" w:styleId="920">
    <w:name w:val="Intense Emphasis"/>
    <w:basedOn w:val="95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1">
    <w:name w:val="Intense Quote"/>
    <w:basedOn w:val="951"/>
    <w:next w:val="951"/>
    <w:link w:val="92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2">
    <w:name w:val="Intense Quote Char"/>
    <w:basedOn w:val="958"/>
    <w:link w:val="92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3">
    <w:name w:val="Intense Reference"/>
    <w:basedOn w:val="95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4">
    <w:name w:val="No Spacing"/>
    <w:basedOn w:val="951"/>
    <w:uiPriority w:val="1"/>
    <w:qFormat/>
    <w:pPr>
      <w:pBdr/>
      <w:spacing w:after="0" w:line="240" w:lineRule="auto"/>
      <w:ind/>
    </w:pPr>
  </w:style>
  <w:style w:type="character" w:styleId="925">
    <w:name w:val="Subtle Emphasis"/>
    <w:basedOn w:val="95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6">
    <w:name w:val="Emphasis"/>
    <w:basedOn w:val="958"/>
    <w:uiPriority w:val="20"/>
    <w:qFormat/>
    <w:pPr>
      <w:pBdr/>
      <w:spacing/>
      <w:ind/>
    </w:pPr>
    <w:rPr>
      <w:i/>
      <w:iCs/>
    </w:rPr>
  </w:style>
  <w:style w:type="character" w:styleId="927">
    <w:name w:val="Strong"/>
    <w:basedOn w:val="958"/>
    <w:uiPriority w:val="22"/>
    <w:qFormat/>
    <w:pPr>
      <w:pBdr/>
      <w:spacing/>
      <w:ind/>
    </w:pPr>
    <w:rPr>
      <w:b/>
      <w:bCs/>
    </w:rPr>
  </w:style>
  <w:style w:type="character" w:styleId="928">
    <w:name w:val="Subtle Reference"/>
    <w:basedOn w:val="95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9">
    <w:name w:val="Book Title"/>
    <w:basedOn w:val="95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0">
    <w:name w:val="Caption"/>
    <w:basedOn w:val="951"/>
    <w:next w:val="95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1">
    <w:name w:val="footnote text"/>
    <w:basedOn w:val="951"/>
    <w:link w:val="93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2">
    <w:name w:val="Footnote Text Char"/>
    <w:basedOn w:val="958"/>
    <w:link w:val="931"/>
    <w:uiPriority w:val="99"/>
    <w:semiHidden/>
    <w:pPr>
      <w:pBdr/>
      <w:spacing/>
      <w:ind/>
    </w:pPr>
    <w:rPr>
      <w:sz w:val="20"/>
      <w:szCs w:val="20"/>
    </w:rPr>
  </w:style>
  <w:style w:type="character" w:styleId="933">
    <w:name w:val="footnote reference"/>
    <w:basedOn w:val="958"/>
    <w:uiPriority w:val="99"/>
    <w:semiHidden/>
    <w:unhideWhenUsed/>
    <w:pPr>
      <w:pBdr/>
      <w:spacing/>
      <w:ind/>
    </w:pPr>
    <w:rPr>
      <w:vertAlign w:val="superscript"/>
    </w:rPr>
  </w:style>
  <w:style w:type="paragraph" w:styleId="934">
    <w:name w:val="endnote text"/>
    <w:basedOn w:val="951"/>
    <w:link w:val="9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5">
    <w:name w:val="Endnote Text Char"/>
    <w:basedOn w:val="958"/>
    <w:link w:val="934"/>
    <w:uiPriority w:val="99"/>
    <w:semiHidden/>
    <w:pPr>
      <w:pBdr/>
      <w:spacing/>
      <w:ind/>
    </w:pPr>
    <w:rPr>
      <w:sz w:val="20"/>
      <w:szCs w:val="20"/>
    </w:rPr>
  </w:style>
  <w:style w:type="character" w:styleId="936">
    <w:name w:val="endnote reference"/>
    <w:basedOn w:val="958"/>
    <w:uiPriority w:val="99"/>
    <w:semiHidden/>
    <w:unhideWhenUsed/>
    <w:pPr>
      <w:pBdr/>
      <w:spacing/>
      <w:ind/>
    </w:pPr>
    <w:rPr>
      <w:vertAlign w:val="superscript"/>
    </w:rPr>
  </w:style>
  <w:style w:type="character" w:styleId="937">
    <w:name w:val="Hyperlink"/>
    <w:basedOn w:val="95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8">
    <w:name w:val="FollowedHyperlink"/>
    <w:basedOn w:val="95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9">
    <w:name w:val="toc 1"/>
    <w:basedOn w:val="951"/>
    <w:next w:val="951"/>
    <w:uiPriority w:val="39"/>
    <w:unhideWhenUsed/>
    <w:pPr>
      <w:pBdr/>
      <w:spacing w:after="100"/>
      <w:ind/>
    </w:pPr>
  </w:style>
  <w:style w:type="paragraph" w:styleId="940">
    <w:name w:val="toc 2"/>
    <w:basedOn w:val="951"/>
    <w:next w:val="951"/>
    <w:uiPriority w:val="39"/>
    <w:unhideWhenUsed/>
    <w:pPr>
      <w:pBdr/>
      <w:spacing w:after="100"/>
      <w:ind w:left="220"/>
    </w:pPr>
  </w:style>
  <w:style w:type="paragraph" w:styleId="941">
    <w:name w:val="toc 3"/>
    <w:basedOn w:val="951"/>
    <w:next w:val="951"/>
    <w:uiPriority w:val="39"/>
    <w:unhideWhenUsed/>
    <w:pPr>
      <w:pBdr/>
      <w:spacing w:after="100"/>
      <w:ind w:left="440"/>
    </w:pPr>
  </w:style>
  <w:style w:type="paragraph" w:styleId="942">
    <w:name w:val="toc 4"/>
    <w:basedOn w:val="951"/>
    <w:next w:val="951"/>
    <w:uiPriority w:val="39"/>
    <w:unhideWhenUsed/>
    <w:pPr>
      <w:pBdr/>
      <w:spacing w:after="100"/>
      <w:ind w:left="660"/>
    </w:pPr>
  </w:style>
  <w:style w:type="paragraph" w:styleId="943">
    <w:name w:val="toc 5"/>
    <w:basedOn w:val="951"/>
    <w:next w:val="951"/>
    <w:uiPriority w:val="39"/>
    <w:unhideWhenUsed/>
    <w:pPr>
      <w:pBdr/>
      <w:spacing w:after="100"/>
      <w:ind w:left="880"/>
    </w:pPr>
  </w:style>
  <w:style w:type="paragraph" w:styleId="944">
    <w:name w:val="toc 6"/>
    <w:basedOn w:val="951"/>
    <w:next w:val="951"/>
    <w:uiPriority w:val="39"/>
    <w:unhideWhenUsed/>
    <w:pPr>
      <w:pBdr/>
      <w:spacing w:after="100"/>
      <w:ind w:left="1100"/>
    </w:pPr>
  </w:style>
  <w:style w:type="paragraph" w:styleId="945">
    <w:name w:val="toc 7"/>
    <w:basedOn w:val="951"/>
    <w:next w:val="951"/>
    <w:uiPriority w:val="39"/>
    <w:unhideWhenUsed/>
    <w:pPr>
      <w:pBdr/>
      <w:spacing w:after="100"/>
      <w:ind w:left="1320"/>
    </w:pPr>
  </w:style>
  <w:style w:type="paragraph" w:styleId="946">
    <w:name w:val="toc 8"/>
    <w:basedOn w:val="951"/>
    <w:next w:val="951"/>
    <w:uiPriority w:val="39"/>
    <w:unhideWhenUsed/>
    <w:pPr>
      <w:pBdr/>
      <w:spacing w:after="100"/>
      <w:ind w:left="1540"/>
    </w:pPr>
  </w:style>
  <w:style w:type="paragraph" w:styleId="947">
    <w:name w:val="toc 9"/>
    <w:basedOn w:val="951"/>
    <w:next w:val="951"/>
    <w:uiPriority w:val="39"/>
    <w:unhideWhenUsed/>
    <w:pPr>
      <w:pBdr/>
      <w:spacing w:after="100"/>
      <w:ind w:left="1760"/>
    </w:pPr>
  </w:style>
  <w:style w:type="character" w:styleId="948">
    <w:name w:val="Placeholder Text"/>
    <w:basedOn w:val="958"/>
    <w:uiPriority w:val="99"/>
    <w:semiHidden/>
    <w:pPr>
      <w:pBdr/>
      <w:spacing/>
      <w:ind/>
    </w:pPr>
    <w:rPr>
      <w:color w:val="666666"/>
    </w:rPr>
  </w:style>
  <w:style w:type="paragraph" w:styleId="949">
    <w:name w:val="TOC Heading"/>
    <w:uiPriority w:val="39"/>
    <w:unhideWhenUsed/>
    <w:pPr>
      <w:pBdr/>
      <w:spacing/>
      <w:ind/>
    </w:pPr>
  </w:style>
  <w:style w:type="paragraph" w:styleId="950">
    <w:name w:val="table of figures"/>
    <w:basedOn w:val="951"/>
    <w:next w:val="951"/>
    <w:uiPriority w:val="99"/>
    <w:unhideWhenUsed/>
    <w:pPr>
      <w:pBdr/>
      <w:spacing w:after="0" w:afterAutospacing="0"/>
      <w:ind/>
    </w:pPr>
  </w:style>
  <w:style w:type="paragraph" w:styleId="951" w:default="1">
    <w:name w:val="Normal"/>
    <w:qFormat/>
    <w:pPr>
      <w:pBdr/>
      <w:spacing/>
      <w:ind/>
    </w:pPr>
  </w:style>
  <w:style w:type="paragraph" w:styleId="952">
    <w:name w:val="Heading 1"/>
    <w:basedOn w:val="951"/>
    <w:next w:val="951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953">
    <w:name w:val="Heading 2"/>
    <w:basedOn w:val="951"/>
    <w:next w:val="951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954">
    <w:name w:val="Heading 3"/>
    <w:basedOn w:val="951"/>
    <w:next w:val="951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955">
    <w:name w:val="Heading 4"/>
    <w:basedOn w:val="951"/>
    <w:next w:val="951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956">
    <w:name w:val="Heading 5"/>
    <w:basedOn w:val="951"/>
    <w:next w:val="951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957">
    <w:name w:val="Heading 6"/>
    <w:basedOn w:val="951"/>
    <w:next w:val="951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958" w:default="1">
    <w:name w:val="Default Paragraph Font"/>
    <w:uiPriority w:val="1"/>
    <w:semiHidden/>
    <w:unhideWhenUsed/>
    <w:pPr>
      <w:pBdr/>
      <w:spacing/>
      <w:ind/>
    </w:pPr>
  </w:style>
  <w:style w:type="table" w:styleId="95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0" w:default="1">
    <w:name w:val="No List"/>
    <w:uiPriority w:val="99"/>
    <w:semiHidden/>
    <w:unhideWhenUsed/>
    <w:pPr>
      <w:pBdr/>
      <w:spacing/>
      <w:ind/>
    </w:pPr>
  </w:style>
  <w:style w:type="table" w:styleId="961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2">
    <w:name w:val="Title"/>
    <w:basedOn w:val="951"/>
    <w:next w:val="951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963">
    <w:name w:val="Subtitle"/>
    <w:basedOn w:val="951"/>
    <w:next w:val="951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paragraph" w:styleId="964">
    <w:name w:val="Header"/>
    <w:basedOn w:val="951"/>
    <w:link w:val="965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65" w:customStyle="1">
    <w:name w:val="Header Char"/>
    <w:basedOn w:val="958"/>
    <w:link w:val="964"/>
    <w:uiPriority w:val="99"/>
    <w:pPr>
      <w:pBdr/>
      <w:spacing/>
      <w:ind/>
    </w:pPr>
  </w:style>
  <w:style w:type="paragraph" w:styleId="966">
    <w:name w:val="Footer"/>
    <w:basedOn w:val="951"/>
    <w:link w:val="967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67" w:customStyle="1">
    <w:name w:val="Footer Char"/>
    <w:basedOn w:val="958"/>
    <w:link w:val="966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7</cp:revision>
  <dcterms:created xsi:type="dcterms:W3CDTF">2025-07-21T00:34:00Z</dcterms:created>
  <dcterms:modified xsi:type="dcterms:W3CDTF">2025-12-19T09:32:47Z</dcterms:modified>
</cp:coreProperties>
</file>