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Security Metrics and Executive Reporting Report</w:t>
      </w:r>
      <w:r>
        <w:rPr>
          <w:rFonts w:ascii="Arial" w:hAnsi="Arial" w:eastAsia="Arial" w:cs="Arial"/>
          <w:sz w:val="36"/>
          <w:szCs w:val="36"/>
        </w:rPr>
      </w:r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Executive Summary</w:t>
      </w:r>
      <w:r>
        <w:rPr>
          <w:rFonts w:ascii="Arial" w:hAnsi="Arial" w:eastAsia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This report documents the measurement, analysis, and executive reporting of key Security Operations Center (SOC) performance metrics using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Elastic Security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Google Sheets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and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Google Docs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objective is to assess detection efficiency, response effectiveness, and overall SOC maturity using industry-standard metrics such as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MTTD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MTTR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False Positive Rate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and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Dwell Time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SOC Metrics Dashboard Implementation</w:t>
      </w:r>
      <w:r>
        <w:rPr>
          <w:rFonts w:ascii="Arial" w:hAnsi="Arial" w:eastAsia="Arial" w:cs="Arial"/>
          <w:sz w:val="32"/>
          <w:szCs w:val="32"/>
        </w:rPr>
      </w:r>
    </w:p>
    <w:p>
      <w:pPr>
        <w:pStyle w:val="9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.1</w:t>
      </w: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 Mean Time to Detect (MTTD)</w:t>
      </w:r>
      <w:r>
        <w:rPr>
          <w:rFonts w:ascii="Arial" w:hAnsi="Arial" w:eastAsia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MTTD measures the average time taken to detect a security incident from the moment malicious activity begins.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Formula: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MTTD = Detection Time – Attack Start Time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Observed Result: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9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MTTD: 2 Hours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9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.2</w:t>
      </w: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 Mean Time to Respond (MTTR)</w:t>
      </w:r>
      <w:r>
        <w:rPr>
          <w:rFonts w:ascii="Arial" w:hAnsi="Arial" w:eastAsia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MTTR measures the time required to investigate, contain, and remediate an incident after detection.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Formula: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MTTR = Incident Closure Time – Detection Time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Observed Result: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9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MTTR: 4 Hours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9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.3</w:t>
      </w:r>
      <w:r>
        <w:rPr>
          <w:rFonts w:ascii="Arial" w:hAnsi="Arial" w:eastAsia="Arial" w:cs="Arial"/>
          <w:b/>
          <w:color w:val="000000"/>
          <w:sz w:val="28"/>
          <w:szCs w:val="28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 False Positive Rate</w:t>
      </w:r>
      <w:r>
        <w:rPr>
          <w:rFonts w:ascii="Arial" w:hAnsi="Arial" w:eastAsia="Arial" w:cs="Arial"/>
          <w:b/>
          <w:color w:val="000000"/>
          <w:sz w:val="22"/>
          <w:szCs w:val="22"/>
        </w:rPr>
        <w:br/>
      </w:r>
      <w:r>
        <w:rPr>
          <w:rFonts w:ascii="Arial" w:hAnsi="Arial" w:eastAsia="Arial" w:cs="Arial"/>
          <w:color w:val="000000"/>
          <w:sz w:val="22"/>
          <w:szCs w:val="22"/>
        </w:rPr>
        <w:t xml:space="preserve">The percentage of alerts incorrectly classified as malicious.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Formula: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(False Positives ÷ Total Alerts) × 100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Observation:</w:t>
        <w:br/>
      </w:r>
      <w:r>
        <w:rPr>
          <w:rFonts w:ascii="Arial" w:hAnsi="Arial" w:eastAsia="Arial" w:cs="Arial"/>
          <w:color w:val="000000"/>
          <w:sz w:val="22"/>
          <w:szCs w:val="22"/>
        </w:rPr>
        <w:t xml:space="preserve">False positive rates were within acceptable SOC thresholds, indicating well-tuned detection rules.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Dwell Time Analysis </w:t>
      </w:r>
      <w:r>
        <w:rPr>
          <w:rFonts w:ascii="Arial" w:hAnsi="Arial" w:eastAsia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Dwell time represents how long an attacker remains undetected within the environment.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Calculation Method: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Attack Start Time (event.start)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Containment Time (event.end)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Observed Dwell Time: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9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6 Hours</w:t>
      </w:r>
      <w:r>
        <w:rPr>
          <w:rFonts w:ascii="Arial" w:hAnsi="Arial" w:eastAsia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Although detection was timely, earlier behavioral detection could further reduce exposure risk.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9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Executive Summary</w:t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During the reporting period, the SOC demonstrated strong detection and response performance. Mean Time to Detect (MTTD) averaged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2 hours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confirming effective monitoring and alerting mechanisms. Mean Time to Respond (MTTR) averaged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4 hours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reflecting efficient incident handling, containment, and remediation workflows. False positive rates remained controlled, indicating mature alert tuning and reduced analyst fatigue.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Dwell time analysis identified an average attacker presence of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6 hours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suggesting opportunities to enhance early-stage detection through advanced correlation rules and proactive threat hunting. Strategic recommendations include increased automation, expanded endpoint telemetry, and continued analyst training. Overall, SOC o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perations exhibit a mature security posture supported by measurable, actionable metrics aligned with industry best practices.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45F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C17C8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2FAFD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E473E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45217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6D33E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A8857F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7"/>
    <w:basedOn w:val="931"/>
    <w:next w:val="93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1"/>
    <w:next w:val="93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38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38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3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Title Char"/>
    <w:basedOn w:val="938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Subtitle Char"/>
    <w:basedOn w:val="938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31"/>
    <w:next w:val="93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38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1"/>
    <w:next w:val="93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38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8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paragraph" w:styleId="932">
    <w:name w:val="Heading 1"/>
    <w:basedOn w:val="931"/>
    <w:next w:val="93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3">
    <w:name w:val="Heading 2"/>
    <w:basedOn w:val="931"/>
    <w:next w:val="93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4">
    <w:name w:val="Heading 3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5">
    <w:name w:val="Heading 4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36">
    <w:name w:val="Heading 5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37">
    <w:name w:val="Heading 6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table" w:styleId="94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Title"/>
    <w:basedOn w:val="931"/>
    <w:next w:val="93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3">
    <w:name w:val="Subtitle"/>
    <w:basedOn w:val="931"/>
    <w:next w:val="93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4">
    <w:name w:val="Header"/>
    <w:basedOn w:val="931"/>
    <w:link w:val="94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5" w:customStyle="1">
    <w:name w:val="Header Char"/>
    <w:basedOn w:val="938"/>
    <w:link w:val="944"/>
    <w:uiPriority w:val="99"/>
    <w:pPr>
      <w:pBdr/>
      <w:spacing/>
      <w:ind/>
    </w:pPr>
  </w:style>
  <w:style w:type="paragraph" w:styleId="946">
    <w:name w:val="Footer"/>
    <w:basedOn w:val="931"/>
    <w:link w:val="94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7" w:customStyle="1">
    <w:name w:val="Footer Char"/>
    <w:basedOn w:val="938"/>
    <w:link w:val="9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2025-07-21T00:34:00Z</dcterms:created>
  <dcterms:modified xsi:type="dcterms:W3CDTF">2025-12-26T10:58:56Z</dcterms:modified>
</cp:coreProperties>
</file>