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68017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1  计划背景与目标</w:t>
      </w:r>
    </w:p>
    <w:p w14:paraId="2C8626F2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1.1  项目现状</w:t>
      </w:r>
    </w:p>
    <w:p w14:paraId="66FC20D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本项目为离线单机全栈版数据中台，基于 FastAPI + MySQL 8.0 后端与 Vue 3 前端实现，可打包为 Windows 单机程序。系统已覆盖语音、图像、文本、雷达、视频五类模态数据的获取、标注、清洗、转换、集成、采样、质量评估与可视化，具备六级密级体系、数据集版本化与血缘追溯、操作审计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等完整治理能力，完全离线运行。</w:t>
      </w:r>
    </w:p>
    <w:p w14:paraId="45F214AB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1.2  目标定位</w:t>
      </w:r>
    </w:p>
    <w:p w14:paraId="21CBBE7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项目目标定位为：通过智能技术深度赋能，实现服务模式变革，数据提供方式从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数据供给导向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转变为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用户需求导向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——以用户需求为起点，主动提供定制化、高价值的数据集，从而显著提升数据利用效率、优化服务决策。</w:t>
      </w:r>
    </w:p>
    <w:p w14:paraId="292E602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本计划围绕“数据提供方式”这一条链路展开。系统已具备需求导向取数的框架能力：按条件查数并对比缺口、标签与场景与密级多维条件、版本链与打包交付。框架中只有形式没有内容的模块是本体知识图谱与 AIGC 生成。本计划以填实这两个模块为重点；需求导向的支撑链路已由下载模块承载，不再重复建设。</w:t>
      </w:r>
    </w:p>
    <w:p w14:paraId="72EEB143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2  现状</w:t>
      </w:r>
    </w:p>
    <w:p w14:paraId="62CB6B51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2.1  数据资产与治理能力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35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9D9D9"/>
            <w:vAlign w:val="center"/>
          </w:tcPr>
          <w:p w14:paraId="335BBD5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能力域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237EF83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现状能力（v3.2）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F3E443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7F6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51F9F5E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数据获取</w:t>
            </w:r>
          </w:p>
        </w:tc>
        <w:tc>
          <w:tcPr>
            <w:tcW w:w="4876" w:type="dxa"/>
            <w:vAlign w:val="center"/>
          </w:tcPr>
          <w:p w14:paraId="5CABCBF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五模态统一接入；分片断点续传；文件夹整体上传（保留目录结构）；COCO 整表标注导入；数据来源标签 source_type（真实采集/仿真/AIGC）</w:t>
            </w:r>
          </w:p>
        </w:tc>
        <w:tc>
          <w:tcPr>
            <w:tcW w:w="2948" w:type="dxa"/>
            <w:vAlign w:val="center"/>
          </w:tcPr>
          <w:p w14:paraId="5FD1D68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语音、图像、文本、雷达、视频</w:t>
            </w:r>
          </w:p>
        </w:tc>
      </w:tr>
      <w:tr w14:paraId="00CD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48CF3C7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标注能力</w:t>
            </w:r>
          </w:p>
        </w:tc>
        <w:tc>
          <w:tcPr>
            <w:tcW w:w="4876" w:type="dxa"/>
            <w:vAlign w:val="center"/>
          </w:tcPr>
          <w:p w14:paraId="06442FB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手动标注：五模态可视化画布（图像拖框、视频按时间点拖框、语音波形段选、文本划词、雷达 2D BEV）；自动标注：YOLOv8n 语义目标检测、Silero VAD、Whisper 转写、GliNER 实体识别，SAM2/SAM3 已注册</w:t>
            </w:r>
          </w:p>
        </w:tc>
        <w:tc>
          <w:tcPr>
            <w:tcW w:w="2948" w:type="dxa"/>
            <w:vAlign w:val="center"/>
          </w:tcPr>
          <w:p w14:paraId="4EFAD46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模型缺失时降级或 503 提示</w:t>
            </w:r>
          </w:p>
        </w:tc>
      </w:tr>
      <w:tr w14:paraId="5593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11DF0B6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数据治理</w:t>
            </w:r>
          </w:p>
        </w:tc>
        <w:tc>
          <w:tcPr>
            <w:tcW w:w="4876" w:type="dxa"/>
            <w:vAlign w:val="center"/>
          </w:tcPr>
          <w:p w14:paraId="7D7C8AA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清洗、转换、集成（跨数据集跨模态多源合并）、采样（训练/验证/测试三划分）、工作流节点编排</w:t>
            </w:r>
          </w:p>
        </w:tc>
        <w:tc>
          <w:tcPr>
            <w:tcW w:w="2948" w:type="dxa"/>
            <w:vAlign w:val="center"/>
          </w:tcPr>
          <w:p w14:paraId="28F4D68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任务后台执行、前端轮询进度</w:t>
            </w:r>
          </w:p>
        </w:tc>
      </w:tr>
      <w:tr w14:paraId="3E7F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6142C15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质量评估</w:t>
            </w:r>
          </w:p>
        </w:tc>
        <w:tc>
          <w:tcPr>
            <w:tcW w:w="4876" w:type="dxa"/>
            <w:vAlign w:val="center"/>
          </w:tcPr>
          <w:p w14:paraId="5AD42EE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完整性、准确性、一致性、时效性、规范性、可访问性六维评估；参考标准合规评估（标准原文上传、自定义规则）</w:t>
            </w:r>
          </w:p>
        </w:tc>
        <w:tc>
          <w:tcPr>
            <w:tcW w:w="2948" w:type="dxa"/>
            <w:vAlign w:val="center"/>
          </w:tcPr>
          <w:p w14:paraId="4898B81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评估结果回写数据集版本</w:t>
            </w:r>
          </w:p>
        </w:tc>
      </w:tr>
      <w:tr w14:paraId="5C90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65481A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版本与血缘</w:t>
            </w:r>
          </w:p>
        </w:tc>
        <w:tc>
          <w:tcPr>
            <w:tcW w:w="4876" w:type="dxa"/>
            <w:vAlign w:val="center"/>
          </w:tcPr>
          <w:p w14:paraId="1DECBFF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数据集版本化（草稿 draft 单向发布为 published）；当前版本管理；单父血缘链；集成任务按来源模态组织产物并附 _manifest.json</w:t>
            </w:r>
          </w:p>
        </w:tc>
        <w:tc>
          <w:tcPr>
            <w:tcW w:w="2948" w:type="dxa"/>
            <w:vAlign w:val="center"/>
          </w:tcPr>
          <w:p w14:paraId="0125EEC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已发布版本只读</w:t>
            </w:r>
          </w:p>
        </w:tc>
      </w:tr>
      <w:tr w14:paraId="2CED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14EC14A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安全与审计</w:t>
            </w:r>
          </w:p>
        </w:tc>
        <w:tc>
          <w:tcPr>
            <w:tcW w:w="4876" w:type="dxa"/>
            <w:vAlign w:val="center"/>
          </w:tcPr>
          <w:p w14:paraId="3A0AD9B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六级密级体系；按用户授予可见/可操作密级（可操作不超过可见）；列表、详情、下载、任务全链路强制校验；全部操作写操作日志</w:t>
            </w:r>
          </w:p>
        </w:tc>
        <w:tc>
          <w:tcPr>
            <w:tcW w:w="2948" w:type="dxa"/>
            <w:vAlign w:val="center"/>
          </w:tcPr>
          <w:p w14:paraId="0CB2B0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越权访问 403</w:t>
            </w:r>
          </w:p>
        </w:tc>
      </w:tr>
    </w:tbl>
    <w:p w14:paraId="2B8984CE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2.2  数据提供相关接口现状</w:t>
      </w:r>
    </w:p>
    <w:p w14:paraId="406FF6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数据提供链路当前以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下载模块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为核心，相关接口实现情况如下）。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066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41" w:type="dxa"/>
            <w:shd w:val="clear" w:color="auto" w:fill="D9D9D9"/>
            <w:vAlign w:val="center"/>
          </w:tcPr>
          <w:p w14:paraId="68BA464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68A47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现状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0CDC586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与需求导向的关系</w:t>
            </w:r>
          </w:p>
        </w:tc>
      </w:tr>
      <w:tr w14:paraId="0552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4B8A570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/api/download/scenes</w:t>
            </w:r>
          </w:p>
        </w:tc>
        <w:tc>
          <w:tcPr>
            <w:tcW w:w="4309" w:type="dxa"/>
            <w:vAlign w:val="center"/>
          </w:tcPr>
          <w:p w14:paraId="0A5D36D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返回当前模态下用户可见的场景选项</w:t>
            </w:r>
          </w:p>
        </w:tc>
        <w:tc>
          <w:tcPr>
            <w:tcW w:w="2721" w:type="dxa"/>
            <w:vAlign w:val="center"/>
          </w:tcPr>
          <w:p w14:paraId="3A5D72B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供下载页筛选条件</w:t>
            </w:r>
          </w:p>
        </w:tc>
      </w:tr>
      <w:tr w14:paraId="4C78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4F83672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/api/labels</w:t>
            </w:r>
          </w:p>
        </w:tc>
        <w:tc>
          <w:tcPr>
            <w:tcW w:w="4309" w:type="dxa"/>
            <w:vAlign w:val="center"/>
          </w:tcPr>
          <w:p w14:paraId="36FA7B1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跨数据集标签全集（按模态与密级 60 秒缓存）</w:t>
            </w:r>
          </w:p>
        </w:tc>
        <w:tc>
          <w:tcPr>
            <w:tcW w:w="2721" w:type="dxa"/>
            <w:vAlign w:val="center"/>
          </w:tcPr>
          <w:p w14:paraId="1BAB995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供筛选条件</w:t>
            </w:r>
          </w:p>
        </w:tc>
      </w:tr>
      <w:tr w14:paraId="2083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7CEA37B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/api/download/query</w:t>
            </w:r>
          </w:p>
        </w:tc>
        <w:tc>
          <w:tcPr>
            <w:tcW w:w="4309" w:type="dxa"/>
            <w:vAlign w:val="center"/>
          </w:tcPr>
          <w:p w14:paraId="289F1B0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按模态、场景、标签、项目、密级查询含指定标签的文件清单；返回 matched_count，可与需求数量对比计算缺口</w:t>
            </w:r>
          </w:p>
        </w:tc>
        <w:tc>
          <w:tcPr>
            <w:tcW w:w="2721" w:type="dxa"/>
            <w:vAlign w:val="center"/>
          </w:tcPr>
          <w:p w14:paraId="58D6A51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已有</w:t>
            </w:r>
            <w:r>
              <w:rPr>
                <w:rFonts w:hint="eastAsia"/>
                <w:b w:val="0"/>
                <w:color w:val="000000"/>
                <w:sz w:val="21"/>
                <w:lang w:eastAsia="zh-CN"/>
              </w:rPr>
              <w:t>“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按条件查数并算缺口</w:t>
            </w:r>
            <w:r>
              <w:rPr>
                <w:rFonts w:hint="eastAsia"/>
                <w:b w:val="0"/>
                <w:color w:val="000000"/>
                <w:sz w:val="21"/>
                <w:lang w:eastAsia="zh-CN"/>
              </w:rPr>
              <w:t>”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的基础，但条件为静态筛选参数，需求本身不被建模</w:t>
            </w:r>
          </w:p>
        </w:tc>
      </w:tr>
      <w:tr w14:paraId="5962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4DA86F7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/api/download/pack</w:t>
            </w:r>
          </w:p>
        </w:tc>
        <w:tc>
          <w:tcPr>
            <w:tcW w:w="4309" w:type="dxa"/>
            <w:vAlign w:val="center"/>
          </w:tcPr>
          <w:p w14:paraId="4D76DD0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按文件清单跨数据集打包下载，附 _lineage.json 血缘，密级全程校验</w:t>
            </w:r>
          </w:p>
        </w:tc>
        <w:tc>
          <w:tcPr>
            <w:tcW w:w="2721" w:type="dxa"/>
            <w:vAlign w:val="center"/>
          </w:tcPr>
          <w:p w14:paraId="6D5219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已有打包交付能力，可复用为交付通道</w:t>
            </w:r>
          </w:p>
        </w:tc>
      </w:tr>
      <w:tr w14:paraId="46E6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17EACD4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/{data_type}/{id}/label-stats</w:t>
            </w:r>
          </w:p>
        </w:tc>
        <w:tc>
          <w:tcPr>
            <w:tcW w:w="4309" w:type="dxa"/>
            <w:vAlign w:val="center"/>
          </w:tcPr>
          <w:p w14:paraId="686A7AE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标签类别分布、类别乘文件覆盖热力图、标注源构成</w:t>
            </w:r>
          </w:p>
        </w:tc>
        <w:tc>
          <w:tcPr>
            <w:tcW w:w="2721" w:type="dxa"/>
            <w:vAlign w:val="center"/>
          </w:tcPr>
          <w:p w14:paraId="475E013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可作为匹配推荐的数据基础</w:t>
            </w:r>
          </w:p>
        </w:tc>
      </w:tr>
      <w:tr w14:paraId="087D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61C3B7E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/api/aigc/generate</w:t>
            </w:r>
          </w:p>
        </w:tc>
        <w:tc>
          <w:tcPr>
            <w:tcW w:w="4309" w:type="dxa"/>
            <w:vAlign w:val="center"/>
          </w:tcPr>
          <w:p w14:paraId="37E9C90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501 占位空接口；契约已冻结：请求 data_type/scene/labels/count，响应 task_id/status/estimated_count；生成数据 source_type 强制为 AIGC，自带 _label.json 标注（source 为 aigc），query 预留 include_aigc 参数</w:t>
            </w:r>
          </w:p>
        </w:tc>
        <w:tc>
          <w:tcPr>
            <w:tcW w:w="2721" w:type="dxa"/>
            <w:vAlign w:val="center"/>
          </w:tcPr>
          <w:p w14:paraId="1A994F9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缺口补足入口，二期实现</w:t>
            </w:r>
          </w:p>
        </w:tc>
      </w:tr>
      <w:tr w14:paraId="6E19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vAlign w:val="center"/>
          </w:tcPr>
          <w:p w14:paraId="3B41E2A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知识图谱/本体获取与抽取</w:t>
            </w:r>
          </w:p>
        </w:tc>
        <w:tc>
          <w:tcPr>
            <w:tcW w:w="4309" w:type="dxa"/>
            <w:vAlign w:val="center"/>
          </w:tcPr>
          <w:p w14:paraId="08CB820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前端占位页面</w:t>
            </w:r>
          </w:p>
        </w:tc>
        <w:tc>
          <w:tcPr>
            <w:tcW w:w="2721" w:type="dxa"/>
            <w:vAlign w:val="center"/>
          </w:tcPr>
          <w:p w14:paraId="6404312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远期语义能力</w:t>
            </w:r>
          </w:p>
        </w:tc>
      </w:tr>
    </w:tbl>
    <w:p w14:paraId="7D4C28BF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2.3  现状结论</w:t>
      </w:r>
    </w:p>
    <w:p w14:paraId="73E9287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数据提供方式的框架已具备：用户可按模态、场景、标签、项目、密级条件查询文件，系统返回命中清单与缺口数量，支持打包下载并附血缘；标签全集、场景选项、质量评估、版本链等维度均已就绪。框架的缺口在于两个模块只有框架没有内容：本体知识图谱（获取、抽取、管理均为占位页面）与 AIGC 生成（</w:t>
      </w:r>
      <w:r>
        <w:rPr>
          <w:rFonts w:hint="eastAsia"/>
          <w:b w:val="0"/>
          <w:color w:val="000000"/>
          <w:sz w:val="24"/>
          <w:lang w:val="en-US" w:eastAsia="zh-CN"/>
        </w:rPr>
        <w:t>api接口占位</w:t>
      </w:r>
      <w:r>
        <w:rPr>
          <w:rFonts w:ascii="Times New Roman" w:hAnsi="Times New Roman" w:eastAsia="宋体"/>
          <w:b w:val="0"/>
          <w:color w:val="000000"/>
          <w:sz w:val="24"/>
        </w:rPr>
        <w:t>）；需求导向的支撑链路已由下载模块承载，本计划以填实两个占位模块为重点，不再重复建设支撑链路。</w:t>
      </w:r>
    </w:p>
    <w:p w14:paraId="1470C3F1">
      <w:pPr>
        <w:pStyle w:val="3"/>
        <w:keepNext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color w:val="000000"/>
          <w:sz w:val="32"/>
        </w:rPr>
        <w:t xml:space="preserve">3  </w:t>
      </w: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待完善功能</w:t>
      </w:r>
    </w:p>
    <w:p w14:paraId="7BDBD8A8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3.1  需求导向数据提供全链路</w:t>
      </w:r>
    </w:p>
    <w:p w14:paraId="627F83C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需求导向的数据提供方式应形成完整闭环：需求表达 → 约束解析 → 匹配推荐 → 定制组装 → 交付 → 评价反馈。其中数据资产、条件查询、打包交付、质量与密级维度等框架已具备，逐环节对照现有系统能力，差距集中在两个只有框架没有内容的模块（本体知识图谱、AIGC 生成），清单如下。</w:t>
      </w:r>
    </w:p>
    <w:p w14:paraId="087F2FDF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3.2  差距清单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3D63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  <w:tblHeader/>
        </w:trPr>
        <w:tc>
          <w:tcPr>
            <w:tcW w:w="3080" w:type="dxa"/>
            <w:shd w:val="clear" w:color="auto" w:fill="D9D9D9"/>
            <w:vAlign w:val="center"/>
          </w:tcPr>
          <w:p w14:paraId="79EA9C0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w="3080" w:type="dxa"/>
            <w:shd w:val="clear" w:color="auto" w:fill="D9D9D9"/>
            <w:vAlign w:val="center"/>
          </w:tcPr>
          <w:p w14:paraId="05E019D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w="3080" w:type="dxa"/>
            <w:shd w:val="clear" w:color="auto" w:fill="D9D9D9"/>
            <w:vAlign w:val="center"/>
          </w:tcPr>
          <w:p w14:paraId="1E0FB0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现状缺口</w:t>
            </w:r>
          </w:p>
        </w:tc>
      </w:tr>
      <w:tr w14:paraId="3687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7" w:hRule="atLeast"/>
        </w:trPr>
        <w:tc>
          <w:tcPr>
            <w:tcW w:w="3080" w:type="dxa"/>
            <w:vAlign w:val="center"/>
          </w:tcPr>
          <w:p w14:paraId="7B36D89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G1</w:t>
            </w:r>
          </w:p>
        </w:tc>
        <w:tc>
          <w:tcPr>
            <w:tcW w:w="3080" w:type="dxa"/>
            <w:vAlign w:val="center"/>
          </w:tcPr>
          <w:p w14:paraId="75CCCF5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本体知识图谱</w:t>
            </w:r>
          </w:p>
        </w:tc>
        <w:tc>
          <w:tcPr>
            <w:tcW w:w="3080" w:type="dxa"/>
            <w:vAlign w:val="center"/>
          </w:tcPr>
          <w:p w14:paraId="7468767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知识图谱获取、本体获取、本体抽取均为占位页面；本体独立研究进行中，研究成功后并入，语义理解内容暂为空</w:t>
            </w:r>
          </w:p>
        </w:tc>
      </w:tr>
      <w:tr w14:paraId="4CF8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4" w:hRule="atLeast"/>
        </w:trPr>
        <w:tc>
          <w:tcPr>
            <w:tcW w:w="3080" w:type="dxa"/>
            <w:vAlign w:val="center"/>
          </w:tcPr>
          <w:p w14:paraId="0CA480B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G2</w:t>
            </w:r>
          </w:p>
        </w:tc>
        <w:tc>
          <w:tcPr>
            <w:tcW w:w="3080" w:type="dxa"/>
            <w:vAlign w:val="center"/>
          </w:tcPr>
          <w:p w14:paraId="4E71C59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AIGC 生成</w:t>
            </w:r>
          </w:p>
        </w:tc>
        <w:tc>
          <w:tcPr>
            <w:tcW w:w="3080" w:type="dxa"/>
            <w:vAlign w:val="center"/>
          </w:tcPr>
          <w:p w14:paraId="5BD5C74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/api/aigc/generate 为 501 占位，契约已冻结，需求缺口无法用生成数据补足</w:t>
            </w:r>
          </w:p>
        </w:tc>
      </w:tr>
    </w:tbl>
    <w:p w14:paraId="7EB45239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3.3  AIGC 数据生成与增强研究</w:t>
      </w:r>
    </w:p>
    <w:p w14:paraId="5C2FFCB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面向航空领域多模态数据获取成本高、部分场景标注样本稀缺等问题，开展基于少样本（Few-shot）的 AIGC 数据生成与增强研究。重点覆盖 RGB、SAR、红外/多光谱、LiDAR/三维、文本、音频和视频等数据模态，围绕飞行器本体识别、航空遥感解译、低空无人机感知、航空运行通信等典型应用场景，研究不同模态下的数据生成与增强方法。</w:t>
      </w:r>
    </w:p>
    <w:p w14:paraId="4BAB40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飞行器本体场景主要关注飞机、直升机和无人机等目标自身的外观、类别与姿态差异；航空遥感场景主要面向机场、跑道、停机坪以及飞机等地面目标的高空或卫星观测；低空无人机场景聚焦无人机平台视角下的城市、道路、车辆、行人和地形环境感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0"/>
        <w:gridCol w:w="4490"/>
      </w:tblGrid>
      <w:tr w14:paraId="61F8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  <w:tblHeader/>
        </w:trPr>
        <w:tc>
          <w:tcPr>
            <w:tcW w:w="4490" w:type="dxa"/>
            <w:shd w:val="clear" w:color="auto" w:fill="D9D9D9"/>
            <w:vAlign w:val="center"/>
          </w:tcPr>
          <w:p w14:paraId="448D774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数据模态</w:t>
            </w:r>
          </w:p>
        </w:tc>
        <w:tc>
          <w:tcPr>
            <w:tcW w:w="4490" w:type="dxa"/>
            <w:shd w:val="clear" w:color="auto" w:fill="D9D9D9"/>
            <w:vAlign w:val="center"/>
          </w:tcPr>
          <w:p w14:paraId="32B424A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生成与增强方向</w:t>
            </w:r>
          </w:p>
        </w:tc>
      </w:tr>
      <w:tr w14:paraId="362F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66676A6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</w:t>
            </w:r>
          </w:p>
        </w:tc>
        <w:tc>
          <w:tcPr>
            <w:tcW w:w="4490" w:type="dxa"/>
            <w:vAlign w:val="center"/>
          </w:tcPr>
          <w:p w14:paraId="10E4E0C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飞行器本体（飞机、直升机、无人机）外观、类别与姿态；低空无人机视角的城市、道路、车辆、行人；遥感地面目标</w:t>
            </w:r>
          </w:p>
        </w:tc>
      </w:tr>
      <w:tr w14:paraId="048A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2FFD31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SAR</w:t>
            </w:r>
          </w:p>
        </w:tc>
        <w:tc>
          <w:tcPr>
            <w:tcW w:w="4490" w:type="dxa"/>
            <w:vAlign w:val="center"/>
          </w:tcPr>
          <w:p w14:paraId="0522A31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飞机目标及机场、跑道、停机坪等地面目标的高空或卫星观测解译</w:t>
            </w:r>
          </w:p>
        </w:tc>
      </w:tr>
      <w:tr w14:paraId="65CD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35E688B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红外/多光谱</w:t>
            </w:r>
          </w:p>
        </w:tc>
        <w:tc>
          <w:tcPr>
            <w:tcW w:w="4490" w:type="dxa"/>
            <w:vAlign w:val="center"/>
          </w:tcPr>
          <w:p w14:paraId="70BAACC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低空目标检测与红外、多光谱增强</w:t>
            </w:r>
          </w:p>
        </w:tc>
      </w:tr>
      <w:tr w14:paraId="40A3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00FD85E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LiDAR/三维</w:t>
            </w:r>
          </w:p>
        </w:tc>
        <w:tc>
          <w:tcPr>
            <w:tcW w:w="4490" w:type="dxa"/>
            <w:vAlign w:val="center"/>
          </w:tcPr>
          <w:p w14:paraId="5AF8820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三维环境感知与场景重建：点云、三维几何结构与空间信息生成</w:t>
            </w:r>
          </w:p>
        </w:tc>
      </w:tr>
      <w:tr w14:paraId="68CF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0B57431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4490" w:type="dxa"/>
            <w:vAlign w:val="center"/>
          </w:tcPr>
          <w:p w14:paraId="61B7AE7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遥感场景描述、航空任务指令等语义信息生成</w:t>
            </w:r>
          </w:p>
        </w:tc>
      </w:tr>
      <w:tr w14:paraId="4EC8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9" w:hRule="atLeast"/>
        </w:trPr>
        <w:tc>
          <w:tcPr>
            <w:tcW w:w="4490" w:type="dxa"/>
            <w:vAlign w:val="center"/>
          </w:tcPr>
          <w:p w14:paraId="53B0E42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</w:t>
            </w:r>
          </w:p>
        </w:tc>
        <w:tc>
          <w:tcPr>
            <w:tcW w:w="4490" w:type="dxa"/>
            <w:vAlign w:val="center"/>
          </w:tcPr>
          <w:p w14:paraId="69B414E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空管通信、飞行员语音等航空语音生成与增强</w:t>
            </w:r>
          </w:p>
        </w:tc>
      </w:tr>
      <w:tr w14:paraId="09A2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9" w:hRule="atLeast"/>
        </w:trPr>
        <w:tc>
          <w:tcPr>
            <w:tcW w:w="4490" w:type="dxa"/>
            <w:vAlign w:val="center"/>
          </w:tcPr>
          <w:p w14:paraId="58B4687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视频</w:t>
            </w:r>
          </w:p>
        </w:tc>
        <w:tc>
          <w:tcPr>
            <w:tcW w:w="4490" w:type="dxa"/>
            <w:vAlign w:val="center"/>
          </w:tcPr>
          <w:p w14:paraId="657A6E7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飞行器运动、无人机动态场景与连续视觉观测，关注运动规律、时序一致性与场景连续性</w:t>
            </w:r>
          </w:p>
        </w:tc>
      </w:tr>
    </w:tbl>
    <w:p w14:paraId="61056AA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本阶段重点覆盖 RGB、SAR、红外/多光谱三种模态。实验基于公开航空及遥感数据集，构建标准化的 Few-shot 数据生成与下游任务验证流程：从真实训练数据中抽取少量样本作为生成模型的条件或适配数据，生成具有类别、场景或语义一致性的新样本，并采用公开数据集的独立真实测试集进行验证；统一设置 Real-only、Synthetic-only、Real+Synthetic 和 Full-real 对照实验，通过下游任务指标评价合成数据有效性，并同步建立统一的实验记录。</w:t>
      </w:r>
    </w:p>
    <w:p w14:paraId="62807A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年底优先围绕 RGB 飞行器细粒度识别、SAR 飞机目标检测和红外低空目标检测三个方向，选取 FGVC-Aircraft、SADD、HIT-UAV 等公开数据集，完成少样本抽取、AIGC 生成、下游模型训练及真实测试集评估的端到端验证；同时面向文本、音频与视频分别选取遥感图像描述、空管语音识别和低空视频目标跟踪作为扩展方向，完成代表性数据集接入。年底重点形成覆盖多模态、多场景的统一 Few-shot 评测协议，完成至少三个核心视觉任务的可复现 Baseline，并实现生成数据版本管理、下游性能对比和标准化评测报告。</w:t>
      </w:r>
    </w:p>
    <w:p w14:paraId="5FEF48E6">
      <w:pPr>
        <w:pStyle w:val="3"/>
        <w:keepNext/>
      </w:pPr>
      <w:r>
        <w:rPr>
          <w:rFonts w:ascii="Times New Roman" w:hAnsi="Times New Roman" w:eastAsia="黑体"/>
          <w:b/>
          <w:color w:val="000000"/>
          <w:sz w:val="32"/>
        </w:rPr>
        <w:t>4  实施计划</w:t>
      </w:r>
    </w:p>
    <w:p w14:paraId="79A3C7D6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4.1  阶段划分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270"/>
        <w:gridCol w:w="2270"/>
        <w:gridCol w:w="2270"/>
      </w:tblGrid>
      <w:tr w14:paraId="407C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tblHeader/>
        </w:trPr>
        <w:tc>
          <w:tcPr>
            <w:tcW w:w="2270" w:type="dxa"/>
            <w:shd w:val="clear" w:color="auto" w:fill="D9D9D9"/>
            <w:vAlign w:val="center"/>
          </w:tcPr>
          <w:p w14:paraId="315E3C3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64854E0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3CF46D0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对应缺口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2D6CC1D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关键交付物</w:t>
            </w:r>
          </w:p>
        </w:tc>
      </w:tr>
      <w:tr w14:paraId="5B2E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60" w:hRule="atLeast"/>
        </w:trPr>
        <w:tc>
          <w:tcPr>
            <w:tcW w:w="2270" w:type="dxa"/>
            <w:vAlign w:val="center"/>
          </w:tcPr>
          <w:p w14:paraId="3B5B275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本体知识图谱线</w:t>
            </w:r>
          </w:p>
        </w:tc>
        <w:tc>
          <w:tcPr>
            <w:tcW w:w="2270" w:type="dxa"/>
            <w:vAlign w:val="center"/>
          </w:tcPr>
          <w:p w14:paraId="1D4338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10–12 月</w:t>
            </w:r>
          </w:p>
        </w:tc>
        <w:tc>
          <w:tcPr>
            <w:tcW w:w="2270" w:type="dxa"/>
            <w:vAlign w:val="center"/>
          </w:tcPr>
          <w:p w14:paraId="11A0F2C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G1</w:t>
            </w:r>
          </w:p>
        </w:tc>
        <w:tc>
          <w:tcPr>
            <w:tcW w:w="2270" w:type="dxa"/>
            <w:vAlign w:val="center"/>
          </w:tcPr>
          <w:p w14:paraId="70E05DE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研究成果跟进与评审；本体模型与存储集成；本体获取导入；本体管理页；图谱查询与可视化；语义需求解析接入；并入验证</w:t>
            </w:r>
          </w:p>
        </w:tc>
      </w:tr>
      <w:tr w14:paraId="58D6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7" w:hRule="atLeast"/>
        </w:trPr>
        <w:tc>
          <w:tcPr>
            <w:tcW w:w="2270" w:type="dxa"/>
            <w:vAlign w:val="center"/>
          </w:tcPr>
          <w:p w14:paraId="50B9E3D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AIGC 线</w:t>
            </w:r>
          </w:p>
        </w:tc>
        <w:tc>
          <w:tcPr>
            <w:tcW w:w="2270" w:type="dxa"/>
            <w:vAlign w:val="center"/>
          </w:tcPr>
          <w:p w14:paraId="6979630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10–12 月</w:t>
            </w:r>
          </w:p>
        </w:tc>
        <w:tc>
          <w:tcPr>
            <w:tcW w:w="2270" w:type="dxa"/>
            <w:vAlign w:val="center"/>
          </w:tcPr>
          <w:p w14:paraId="3634F87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G2</w:t>
            </w:r>
          </w:p>
        </w:tc>
        <w:tc>
          <w:tcPr>
            <w:tcW w:w="2270" w:type="dxa"/>
            <w:vAlign w:val="center"/>
          </w:tcPr>
          <w:p w14:paraId="319AF7E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少样本 AIGC 生成方案（RGB、SAR、红外）；生成数据入库（source_type 为 AIGC）；下游任务验证与统一评测；与下载链路联调；部署文档</w:t>
            </w:r>
          </w:p>
        </w:tc>
      </w:tr>
      <w:tr w14:paraId="36691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1" w:hRule="atLeast"/>
        </w:trPr>
        <w:tc>
          <w:tcPr>
            <w:tcW w:w="2270" w:type="dxa"/>
            <w:vAlign w:val="center"/>
          </w:tcPr>
          <w:p w14:paraId="164C33E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S4 收尾验收</w:t>
            </w:r>
          </w:p>
        </w:tc>
        <w:tc>
          <w:tcPr>
            <w:tcW w:w="2270" w:type="dxa"/>
            <w:vAlign w:val="center"/>
          </w:tcPr>
          <w:p w14:paraId="75C3D32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月</w:t>
            </w:r>
          </w:p>
        </w:tc>
        <w:tc>
          <w:tcPr>
            <w:tcW w:w="2270" w:type="dxa"/>
            <w:vAlign w:val="center"/>
          </w:tcPr>
          <w:p w14:paraId="7FAB1E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G1/G2</w:t>
            </w:r>
          </w:p>
        </w:tc>
        <w:tc>
          <w:tcPr>
            <w:tcW w:w="2270" w:type="dxa"/>
            <w:vAlign w:val="center"/>
          </w:tcPr>
          <w:p w14:paraId="6CB0983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端到端联调；验收清单执行；README v4.0、部署指南更新、版本号 4.0.0</w:t>
            </w:r>
          </w:p>
        </w:tc>
      </w:tr>
    </w:tbl>
    <w:p w14:paraId="453B7372">
      <w:pPr>
        <w:pStyle w:val="4"/>
        <w:keepNext/>
      </w:pPr>
      <w:r>
        <w:rPr>
          <w:rFonts w:ascii="Times New Roman" w:hAnsi="Times New Roman" w:eastAsia="黑体"/>
          <w:b/>
          <w:color w:val="000000"/>
          <w:sz w:val="28"/>
        </w:rPr>
        <w:t>4.2  年底达成状态</w:t>
      </w:r>
    </w:p>
    <w:p w14:paraId="210DF51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年底重点达成两项：其一，AIGC 少样本生成研究——围绕 RGB 飞行器细粒度识别（FGVC-Aircraft）、SAR 飞机目标检测（SADD）、红外低空目标检测（HIT-UAV）三个核心方向完成端到端验证，形成统一 Few-shot 评测协议与至少三个可复现 Baseline，生成数据入库（source_type 为 AIGC）并支持版本管理与下游性能对比；本体知识图谱并入系统（本体可导入与管理、图谱可构建与查询、语义解析支撑推荐；年内未获成果则记为待并入）。需求导向取数链路（条件查询、缺口对比、打包交付）已由现有下载模块承载；与上述两个模块结合后，数据提供方式即以现有框架形成“需求导向”的完整闭环，各阶段均含测试工序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47190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87A75"/>
    <w:rsid w:val="187D40D3"/>
    <w:rsid w:val="4DA941CD"/>
    <w:rsid w:val="5A13379E"/>
    <w:rsid w:val="5D642B5A"/>
    <w:rsid w:val="655A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3185</Words>
  <Characters>3982</Characters>
  <Lines>0</Lines>
  <Paragraphs>0</Paragraphs>
  <TotalTime>13</TotalTime>
  <ScaleCrop>false</ScaleCrop>
  <LinksUpToDate>false</LinksUpToDate>
  <CharactersWithSpaces>4141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yyq</cp:lastModifiedBy>
  <dcterms:modified xsi:type="dcterms:W3CDTF">2026-10-08T11:53:33Z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eyJoZGlkIjoiZjVhNGJiMWVmZTg4ZjFhYWZhYWFiMzBkODkwYWRkZmUiLCJ1c2VySWQiOiIxODE5MDkwOTQzIn0=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46CB957533B54C6DBDCCC175A906424A_12</vt:lpwstr>
  </property>
</Properties>
</file>