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5A4B73">
      <w:pPr>
        <w:pStyle w:val="Ttulo1"/>
        <w:spacing w:after="240"/>
        <w:ind w:left="1440" w:hanging="14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02126C">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w:t>
      </w:r>
      <w:r w:rsidR="00260AF2">
        <w:t xml:space="preserve"> </w:t>
      </w:r>
      <w:r w:rsidRPr="004C0E6A">
        <w:t>-</w:t>
      </w:r>
      <w:r w:rsidR="00260AF2">
        <w:t xml:space="preserve"> </w:t>
      </w:r>
      <w:r w:rsidRPr="004C0E6A">
        <w:t>Venezuela.</w:t>
      </w:r>
    </w:p>
    <w:p w:rsidR="005C51A3" w:rsidRDefault="005C51A3" w:rsidP="0002126C">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pPr>
      <w:r>
        <w:t>En la actualidad</w:t>
      </w:r>
      <w:r w:rsidR="00FB761B">
        <w:t>,</w:t>
      </w:r>
      <w:r>
        <w:t xml:space="preserve">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r w:rsidR="0007373D">
        <w:t xml:space="preserve"> </w:t>
      </w:r>
      <w:r w:rsidR="00D108BC">
        <w:t xml:space="preserve">Los fragmentos de gramática libre de contexto son presentados en la forma Backus-Naur extendida. </w:t>
      </w:r>
      <w:r w:rsidR="0007373D">
        <w:t>Se emple</w:t>
      </w:r>
      <w:r w:rsidR="008F2FAF">
        <w:t>ó</w:t>
      </w:r>
      <w:r w:rsidR="0007373D">
        <w:t xml:space="preserve"> la metodología de Programación Extrema para el desarrollo de un compilador para este lenguaje.</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r w:rsidR="00D108BC">
        <w:rPr>
          <w:lang w:val="en-US"/>
        </w:rPr>
        <w:t xml:space="preserve"> Context-free grammar fragments are presented in the extended Backus-Naur form.</w:t>
      </w:r>
      <w:r w:rsidR="0002126C">
        <w:rPr>
          <w:lang w:val="en-US"/>
        </w:rPr>
        <w:t xml:space="preserve"> The Extreme Programming methodology </w:t>
      </w:r>
      <w:r w:rsidR="008F2FAF">
        <w:rPr>
          <w:lang w:val="en-US"/>
        </w:rPr>
        <w:t>was</w:t>
      </w:r>
      <w:r w:rsidR="0002126C">
        <w:rPr>
          <w:lang w:val="en-US"/>
        </w:rPr>
        <w:t xml:space="preserve"> used to develop a compiler for this language.</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 xml:space="preserve">El diccionario de la lengua española define una red como un conjunto de elementos organizados para un determinado fin. Dada esta definición general, las redes pueden modelar muchos tipos de relaciones y procesos en distintos campos </w:t>
      </w:r>
      <w:r w:rsidRPr="00376FF4">
        <w:lastRenderedPageBreak/>
        <w:t>del conocimiento, tales como biología, economía, epidemiología, sociología, entre otros. Según Barabási (2002), la construcción y estructura de las redes es la clave para entender el complejo mundo a nuestro alrededor.</w:t>
      </w:r>
    </w:p>
    <w:p w:rsidR="00947838" w:rsidRPr="00376FF4" w:rsidRDefault="00947838" w:rsidP="00376FF4">
      <w:pPr>
        <w:pStyle w:val="TEGCuerpo"/>
        <w:spacing w:after="240"/>
      </w:pPr>
      <w:r w:rsidRPr="00376FF4">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Por su parte, las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w:t>
      </w:r>
      <w:r w:rsidRPr="00376FF4">
        <w:lastRenderedPageBreak/>
        <w:t>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3766D8"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283DAE" w:rsidRDefault="00283DAE" w:rsidP="00283DAE">
      <w:pPr>
        <w:pStyle w:val="Ttulo1"/>
        <w:spacing w:after="240"/>
      </w:pPr>
      <w:r>
        <w:t>Objetivos</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Realizar una revisión de la documentación de las herramientas existentes para la manipulación de grafos y para la construcción de compiladores.</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Especificar las características del lenguaje.</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Seleccionar los algoritmos y estructuras de datos que compondrán la librería estándar del lenguaje a desarrollar.</w:t>
      </w:r>
    </w:p>
    <w:p w:rsidR="00283DAE" w:rsidRDefault="00283DAE" w:rsidP="00283DAE">
      <w:pPr>
        <w:pStyle w:val="TEGCuerpo"/>
        <w:numPr>
          <w:ilvl w:val="0"/>
          <w:numId w:val="43"/>
        </w:numPr>
        <w:spacing w:afterLines="0" w:after="240"/>
      </w:pPr>
      <w:r w:rsidRPr="004D46D4">
        <w:rPr>
          <w:rFonts w:cs="Arial"/>
          <w:szCs w:val="24"/>
        </w:rPr>
        <w:t>Desarrollar un compilador para el lenguaje.</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263025" w:rsidRDefault="00263025" w:rsidP="00263025">
      <w:pPr>
        <w:pStyle w:val="Ttulo1"/>
        <w:spacing w:after="240"/>
      </w:pPr>
      <w:bookmarkStart w:id="1" w:name="_Toc449803937"/>
      <w:r>
        <w:lastRenderedPageBreak/>
        <w:t>Grafos compactos</w:t>
      </w:r>
      <w:bookmarkEnd w:id="1"/>
    </w:p>
    <w:p w:rsidR="00263025" w:rsidRDefault="00263025" w:rsidP="00263025">
      <w:pPr>
        <w:pStyle w:val="TEGCuerpo"/>
        <w:spacing w:after="240"/>
      </w:pPr>
      <w:r>
        <w:t>Un grafo compacto es un grafo representado de manera de que ocupe el menor espacio posible en memoria. Para lograr esto se definió una representación basada en una matriz de adyacencia almacenada como un arreglo de bits, donde cada uno representa un valor booleano.</w:t>
      </w:r>
    </w:p>
    <w:p w:rsidR="00263025" w:rsidRDefault="00263025" w:rsidP="00263025">
      <w:pPr>
        <w:pStyle w:val="TEGCuerpo"/>
        <w:spacing w:after="240"/>
      </w:pPr>
      <w:r>
        <w:t>Esta representación añade restricciones sobre los grafos a representar y que operaciones se pueden ejecutar sobre ellos:</w:t>
      </w:r>
    </w:p>
    <w:p w:rsidR="00263025" w:rsidRDefault="00263025" w:rsidP="00263025">
      <w:pPr>
        <w:pStyle w:val="TEGCuerpo"/>
        <w:numPr>
          <w:ilvl w:val="1"/>
          <w:numId w:val="26"/>
        </w:numPr>
        <w:spacing w:afterLines="0" w:after="240"/>
      </w:pPr>
      <w:r>
        <w:t>Solo puede almacenar grafos no pesados.</w:t>
      </w:r>
    </w:p>
    <w:p w:rsidR="00263025" w:rsidRDefault="00263025" w:rsidP="00263025">
      <w:pPr>
        <w:pStyle w:val="TEGCuerpo"/>
        <w:numPr>
          <w:ilvl w:val="1"/>
          <w:numId w:val="26"/>
        </w:numPr>
        <w:spacing w:afterLines="0" w:after="240"/>
      </w:pPr>
      <w:r>
        <w:t>Los vértices se especifican al momento de la creación del grafo; agregar o quitar un vértice supone crear un nuevo grafo.</w:t>
      </w:r>
    </w:p>
    <w:p w:rsidR="00FB438F" w:rsidRDefault="00FB438F" w:rsidP="00FB438F">
      <w:pPr>
        <w:pStyle w:val="Ttulo1"/>
        <w:spacing w:after="240"/>
      </w:pPr>
      <w:bookmarkStart w:id="2" w:name="_Toc449803926"/>
      <w:r>
        <w:t>Compilador</w:t>
      </w:r>
      <w:bookmarkEnd w:id="2"/>
    </w:p>
    <w:p w:rsidR="00260AF2" w:rsidRDefault="00FB438F" w:rsidP="006C1056">
      <w:pPr>
        <w:pStyle w:val="TEGCuerpo"/>
        <w:spacing w:after="240"/>
      </w:pPr>
      <w:r>
        <w:t xml:space="preserve">Según Aho y col. (2006), un compilador es un programa que puede leer un programa escrito en un lenguaje (fuente) y traducirlo al programa equivalente en otro lenguaje (destino), </w:t>
      </w:r>
      <w:r w:rsidRPr="00FB438F">
        <w:t>reportando</w:t>
      </w:r>
      <w:r>
        <w:t xml:space="preserve"> cualquier error que consiga durante este proceso.</w:t>
      </w:r>
      <w:r w:rsidR="00263025">
        <w:t xml:space="preserve"> </w:t>
      </w:r>
      <w:r w:rsidR="00260AF2">
        <w:t xml:space="preserve">El programa fuente que será traducido por el compilador pasa por varias fases y cada una de estas </w:t>
      </w:r>
      <w:r w:rsidR="00260AF2" w:rsidRPr="006C1056">
        <w:t>transforma</w:t>
      </w:r>
      <w:r w:rsidR="00260AF2">
        <w:t xml:space="preserve"> una representación del programa fuente a otra (Aho y col. 2006).</w:t>
      </w:r>
    </w:p>
    <w:p w:rsidR="00260AF2" w:rsidRPr="00260AF2" w:rsidRDefault="00260AF2" w:rsidP="00260AF2">
      <w:pPr>
        <w:pStyle w:val="TEGCuerpo"/>
        <w:numPr>
          <w:ilvl w:val="0"/>
          <w:numId w:val="35"/>
        </w:numPr>
        <w:spacing w:afterLines="0" w:after="240"/>
        <w:rPr>
          <w:rFonts w:eastAsiaTheme="minorEastAsia" w:cs="Arial"/>
        </w:rPr>
      </w:pPr>
      <w:r>
        <w:t xml:space="preserve">Análisis léxico: es la primera fase del proceso de compilación, y en ella se lee el flujo de caracteres del programa fuente y se agrupan en secuencias significativas conocidas como lexemas (Aho y col., 2006). Por cada lexema, el analizador léxico genera un </w:t>
      </w:r>
      <w:r w:rsidRPr="00260AF2">
        <w:rPr>
          <w:i/>
        </w:rPr>
        <w:t>token</w:t>
      </w:r>
      <w:r>
        <w:t xml:space="preserve"> de la forma:</w:t>
      </w:r>
    </w:p>
    <w:p w:rsidR="00260AF2" w:rsidRPr="00263025" w:rsidRDefault="00A131B7" w:rsidP="00263025">
      <w:pPr>
        <w:pStyle w:val="TEGCuerpo"/>
        <w:spacing w:afterLines="0" w:after="240" w:line="240" w:lineRule="auto"/>
        <w:ind w:left="720" w:firstLine="0"/>
        <w:rPr>
          <w:rFonts w:eastAsiaTheme="minorEastAsia"/>
        </w:rPr>
      </w:pPr>
      <m:oMathPara>
        <m:oMathParaPr>
          <m:jc m:val="center"/>
        </m:oMathParaPr>
        <m:oMath>
          <m:r>
            <w:rPr>
              <w:rFonts w:ascii="Cambria Math" w:eastAsiaTheme="minorEastAsia" w:hAnsi="Cambria Math" w:cs="Arial"/>
            </w:rPr>
            <m:t>token=&lt;nombre, valor&gt;</m:t>
          </m:r>
        </m:oMath>
      </m:oMathPara>
    </w:p>
    <w:p w:rsidR="00260AF2" w:rsidRPr="00260AF2" w:rsidRDefault="00260AF2" w:rsidP="00260AF2">
      <w:pPr>
        <w:pStyle w:val="TEGCuerpo"/>
        <w:spacing w:afterLines="0" w:after="240"/>
        <w:ind w:left="720" w:firstLine="0"/>
        <w:rPr>
          <w:rFonts w:eastAsiaTheme="minorEastAsia" w:cs="Arial"/>
        </w:rPr>
      </w:pPr>
      <w:r w:rsidRPr="00260AF2">
        <w:rPr>
          <w:rFonts w:eastAsiaTheme="minorEastAsia"/>
        </w:rPr>
        <w:t>Donde “nombre” es</w:t>
      </w:r>
      <w:r w:rsidRPr="00260AF2">
        <w:rPr>
          <w:rFonts w:eastAsiaTheme="minorEastAsia"/>
          <w:b/>
        </w:rPr>
        <w:t xml:space="preserve"> </w:t>
      </w:r>
      <w:r w:rsidRPr="00260AF2">
        <w:rPr>
          <w:rFonts w:eastAsiaTheme="minorEastAsia"/>
        </w:rPr>
        <w:t>un símbolo abstracto que se utiliza durante el análisis sintáctico</w:t>
      </w:r>
      <w:r w:rsidR="00A131B7">
        <w:rPr>
          <w:rFonts w:eastAsiaTheme="minorEastAsia"/>
        </w:rPr>
        <w:t xml:space="preserve"> (identificador, palabra reservada, operador, etc.) y “valor” es una </w:t>
      </w:r>
      <w:r w:rsidR="00A131B7">
        <w:rPr>
          <w:rFonts w:eastAsiaTheme="minorEastAsia"/>
        </w:rPr>
        <w:lastRenderedPageBreak/>
        <w:t>referencia a la estructura llamada</w:t>
      </w:r>
      <w:r w:rsidRPr="00260AF2">
        <w:rPr>
          <w:rFonts w:eastAsiaTheme="minorEastAsia"/>
        </w:rPr>
        <w:t xml:space="preserve"> tabla de símbolos </w:t>
      </w:r>
      <w:r w:rsidR="00A131B7">
        <w:rPr>
          <w:rFonts w:eastAsiaTheme="minorEastAsia"/>
        </w:rPr>
        <w:t xml:space="preserve">donde se halla </w:t>
      </w:r>
      <w:r w:rsidR="00542E69">
        <w:rPr>
          <w:rFonts w:eastAsiaTheme="minorEastAsia"/>
        </w:rPr>
        <w:t>más</w:t>
      </w:r>
      <w:r w:rsidR="00A131B7">
        <w:rPr>
          <w:rFonts w:eastAsiaTheme="minorEastAsia"/>
        </w:rPr>
        <w:t xml:space="preserve"> información sobre </w:t>
      </w:r>
      <w:r w:rsidRPr="00260AF2">
        <w:rPr>
          <w:rFonts w:eastAsiaTheme="minorEastAsia"/>
        </w:rPr>
        <w:t xml:space="preserve">este </w:t>
      </w:r>
      <w:r w:rsidRPr="00260AF2">
        <w:rPr>
          <w:rFonts w:eastAsiaTheme="minorEastAsia"/>
          <w:i/>
        </w:rPr>
        <w:t>token</w:t>
      </w:r>
      <w:r w:rsidRPr="00260AF2">
        <w:rPr>
          <w:rFonts w:eastAsiaTheme="minorEastAsia"/>
        </w:rPr>
        <w:t>.</w:t>
      </w:r>
    </w:p>
    <w:p w:rsidR="00260AF2" w:rsidRDefault="00260AF2" w:rsidP="00260AF2">
      <w:pPr>
        <w:pStyle w:val="TEGCuerpo"/>
        <w:numPr>
          <w:ilvl w:val="0"/>
          <w:numId w:val="35"/>
        </w:numPr>
        <w:spacing w:afterLines="0" w:after="240"/>
      </w:pPr>
      <w:r>
        <w:t>Análisis sintáctico: es la segunda fase del compilador</w:t>
      </w:r>
      <w:r w:rsidR="00542E69">
        <w:t>, en la que se</w:t>
      </w:r>
      <w:r>
        <w:t xml:space="preserve"> lee el flujo de </w:t>
      </w:r>
      <w:r w:rsidRPr="00260AF2">
        <w:rPr>
          <w:i/>
        </w:rPr>
        <w:t>tokens</w:t>
      </w:r>
      <w:r>
        <w:t xml:space="preserve"> resultante de la primera fase e intenta crear una representación intermedia en forma de árbol para describir la estructura gramatical del programa fuente; este árbol sintáctico será utilizado por las siguientes fases del proceso de compilación (Aho y col., 2006).</w:t>
      </w:r>
    </w:p>
    <w:p w:rsidR="00260AF2" w:rsidRDefault="00260AF2" w:rsidP="00260AF2">
      <w:pPr>
        <w:pStyle w:val="TEGCuerpo"/>
        <w:numPr>
          <w:ilvl w:val="0"/>
          <w:numId w:val="35"/>
        </w:numPr>
        <w:spacing w:afterLines="0" w:after="240"/>
      </w:pPr>
      <w:r>
        <w:t>Análisis semántico: utiliza el árbol generado por el analizador sintáctico y la tabla de símbolos para comprobar que el programa fuente es consistente con lo establecido en la definición del lenguaje (Aho y col., 2006).</w:t>
      </w:r>
    </w:p>
    <w:p w:rsidR="00260AF2" w:rsidRDefault="00260AF2" w:rsidP="00260AF2">
      <w:pPr>
        <w:pStyle w:val="TEGCuerpo"/>
        <w:spacing w:afterLines="0" w:after="240"/>
        <w:ind w:left="720" w:firstLine="0"/>
      </w:pPr>
      <w:r>
        <w:t>Durante esta fase, se realiza el chequeo estático de tipos, donde se puede verificar que cada operador tenga operandos cuyos tipos coincidan, que el tipo de la expresión retornada por una función coincida con su tipo de retorno, que las funciones sean llamadas con el número correcto de argumentos y los tipos de estos coincidan con la declaración de la función, entre otras cosas.</w:t>
      </w:r>
    </w:p>
    <w:p w:rsidR="00260AF2" w:rsidRDefault="00260AF2" w:rsidP="00260AF2">
      <w:pPr>
        <w:pStyle w:val="TEGCuerpo"/>
        <w:numPr>
          <w:ilvl w:val="0"/>
          <w:numId w:val="35"/>
        </w:numPr>
        <w:spacing w:afterLines="0" w:after="240"/>
      </w:pPr>
      <w:r>
        <w:t>Generación de código intermedio: durante el proceso de compilación un compilador puede construir una o más representaciones intermedias del programa fuente (Aho y col., 2006). Los árboles sintácticos usados durante el análisis semántico son un ejemplo de estas representaciones.</w:t>
      </w:r>
    </w:p>
    <w:p w:rsidR="00260AF2" w:rsidRDefault="00260AF2" w:rsidP="00542E69">
      <w:pPr>
        <w:pStyle w:val="TEGCuerpo"/>
        <w:spacing w:afterLines="0" w:after="240"/>
        <w:ind w:left="720" w:firstLine="0"/>
      </w:pPr>
      <w:r>
        <w:t>Luego del análisis semántico, algunos compiladores generan una representación intermedia de bajo nivel —similar al código máquina—, que podemos considerar como un programa para una máquina abstracta y que debe tener dos propiedades importantes: debe ser fácil de producir y fácil de traducir en la máquina destino (Aho y col., 2006).</w:t>
      </w:r>
    </w:p>
    <w:p w:rsidR="00260AF2" w:rsidRDefault="00260AF2" w:rsidP="00260AF2">
      <w:pPr>
        <w:pStyle w:val="TEGCuerpo"/>
        <w:numPr>
          <w:ilvl w:val="0"/>
          <w:numId w:val="35"/>
        </w:numPr>
        <w:spacing w:afterLines="0" w:after="240"/>
      </w:pPr>
      <w:r>
        <w:lastRenderedPageBreak/>
        <w:t>Optimización de código: 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260AF2" w:rsidRDefault="00260AF2" w:rsidP="00260AF2">
      <w:pPr>
        <w:pStyle w:val="TEGCuerpo"/>
        <w:numPr>
          <w:ilvl w:val="0"/>
          <w:numId w:val="35"/>
        </w:numPr>
        <w:spacing w:afterLines="0" w:after="240"/>
      </w:pPr>
      <w:r>
        <w:t>Generación de código: e</w:t>
      </w:r>
      <w:r w:rsidRPr="00260AF2">
        <w:t>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4E1EE4" w:rsidRPr="003C4EF1" w:rsidRDefault="004E1EE4" w:rsidP="004E1EE4">
      <w:pPr>
        <w:pStyle w:val="Ttulo1"/>
        <w:spacing w:after="240"/>
      </w:pPr>
      <w:bookmarkStart w:id="3" w:name="_Toc449803934"/>
      <w:r>
        <w:t>Metodología utilizada</w:t>
      </w:r>
      <w:bookmarkEnd w:id="3"/>
      <w:r>
        <w:t xml:space="preserve"> </w:t>
      </w:r>
    </w:p>
    <w:p w:rsidR="004E1EE4" w:rsidRDefault="004E1EE4" w:rsidP="004E1EE4">
      <w:pPr>
        <w:pStyle w:val="TEGCuerpo"/>
        <w:spacing w:after="240"/>
      </w:pPr>
      <w:r>
        <w:t>La metodología escogida es la de Programación Extrema o “Extreme Programming”, en la que se ejecutan todas las etapas de desarrollo de software de manera casi simultánea en forma de pequeñas iteraciones con el fin de mejorar la capacidad de respuesta del mismo, que por lo general duran una semana (Marsh, 2014). Las fases de desarrollo se adecuaron para el desarrollo de este trabajo de la siguiente manera:</w:t>
      </w:r>
    </w:p>
    <w:p w:rsidR="004E1EE4" w:rsidRPr="00F52EA3" w:rsidRDefault="004E1EE4" w:rsidP="004E1EE4">
      <w:pPr>
        <w:pStyle w:val="TEGCuerpo"/>
        <w:numPr>
          <w:ilvl w:val="0"/>
          <w:numId w:val="20"/>
        </w:numPr>
        <w:spacing w:afterLines="0" w:after="240"/>
        <w:rPr>
          <w:b/>
        </w:rPr>
      </w:pPr>
      <w:r>
        <w:t>Planificación</w:t>
      </w:r>
    </w:p>
    <w:p w:rsidR="008D62F5" w:rsidRDefault="004E1EE4" w:rsidP="008D62F5">
      <w:pPr>
        <w:pStyle w:val="TEGCuerpo"/>
        <w:spacing w:after="240"/>
      </w:pPr>
      <w:r>
        <w:t xml:space="preserve">Los requerimientos del proyecto </w:t>
      </w:r>
      <w:r w:rsidR="008D62F5">
        <w:t>fueron</w:t>
      </w:r>
      <w:r>
        <w:t xml:space="preserve"> evaluados al inicio de cada iteración. Durante esta fase también se estima</w:t>
      </w:r>
      <w:r w:rsidR="008D62F5">
        <w:t>ro</w:t>
      </w:r>
      <w:r>
        <w:t>n la duración, costo y riesgos de la</w:t>
      </w:r>
      <w:r w:rsidR="008D62F5">
        <w:t>s iteraciones, y se creó</w:t>
      </w:r>
      <w:r>
        <w:t xml:space="preserve"> una visión general del producto final.</w:t>
      </w:r>
      <w:r w:rsidR="008D62F5">
        <w:t xml:space="preserve"> Se seleccionó ANTLR como herramienta de desarrollo, por ser ésta un generador de analizadores léxico-sintáctico, escrito en Java, y ampliamente utilizado en el ámbito académico e industrial. ANTLR recibe como entrada una descripción formal de un lenguaje en forma de gramática libre de contexto y, a partir de esta, produce un analizador léxico-sintáctico para ese lenguaje capaz de construir un árbol sintáctico automáticamente (Parr, 2012).</w:t>
      </w:r>
    </w:p>
    <w:p w:rsidR="004E1EE4" w:rsidRDefault="004E1EE4" w:rsidP="004E1EE4">
      <w:pPr>
        <w:pStyle w:val="TEGCuerpo"/>
        <w:numPr>
          <w:ilvl w:val="0"/>
          <w:numId w:val="20"/>
        </w:numPr>
        <w:spacing w:afterLines="0" w:after="240"/>
      </w:pPr>
      <w:r>
        <w:lastRenderedPageBreak/>
        <w:t>Diseño</w:t>
      </w:r>
    </w:p>
    <w:p w:rsidR="004E1EE4" w:rsidRDefault="004E1EE4" w:rsidP="004E1EE4">
      <w:pPr>
        <w:pStyle w:val="TEGCuerpo"/>
        <w:spacing w:after="240"/>
      </w:pPr>
      <w:r>
        <w:t>Las decisio</w:t>
      </w:r>
      <w:r w:rsidR="00C36071">
        <w:t>nes acerca de cómo se organizaría</w:t>
      </w:r>
      <w:r>
        <w:t xml:space="preserve"> el código y l</w:t>
      </w:r>
      <w:r w:rsidR="00C36071">
        <w:t xml:space="preserve">a lógica del sistema se </w:t>
      </w:r>
      <w:r w:rsidR="00F54FE6">
        <w:t xml:space="preserve">tomaron </w:t>
      </w:r>
      <w:r w:rsidR="00C36071">
        <w:t>en esta fase. Se definió la forma en la que debían</w:t>
      </w:r>
      <w:r>
        <w:t xml:space="preserve"> hacerse modificaciones al código existente en caso de ser necesarias.</w:t>
      </w:r>
    </w:p>
    <w:p w:rsidR="004E1EE4" w:rsidRDefault="004E1EE4" w:rsidP="004E1EE4">
      <w:pPr>
        <w:pStyle w:val="TEGCuerpo"/>
        <w:numPr>
          <w:ilvl w:val="0"/>
          <w:numId w:val="20"/>
        </w:numPr>
        <w:spacing w:afterLines="0" w:after="240"/>
      </w:pPr>
      <w:r>
        <w:t>Implementación</w:t>
      </w:r>
    </w:p>
    <w:p w:rsidR="004E1EE4" w:rsidRDefault="005F201D" w:rsidP="004E1EE4">
      <w:pPr>
        <w:pStyle w:val="TEGCuerpo"/>
        <w:spacing w:after="240"/>
      </w:pPr>
      <w:r>
        <w:t>En esta fase es donde se llevó</w:t>
      </w:r>
      <w:r w:rsidR="004E1EE4">
        <w:t xml:space="preserve"> a cabo el desarrollo del sistema. El código </w:t>
      </w:r>
      <w:r>
        <w:t>fue escrito respetando</w:t>
      </w:r>
      <w:r w:rsidR="004E1EE4">
        <w:t xml:space="preserve"> estándares y al finalizar la iteración se </w:t>
      </w:r>
      <w:r>
        <w:t xml:space="preserve">contaba con un producto parcialmente </w:t>
      </w:r>
      <w:r w:rsidR="004E1EE4">
        <w:t xml:space="preserve">listo. </w:t>
      </w:r>
      <w:r>
        <w:t>El código para las</w:t>
      </w:r>
      <w:r w:rsidR="004E1EE4">
        <w:t xml:space="preserve"> pruebas </w:t>
      </w:r>
      <w:r>
        <w:t xml:space="preserve">fue escrito </w:t>
      </w:r>
      <w:r w:rsidR="004E1EE4">
        <w:t>antes que el código</w:t>
      </w:r>
      <w:r>
        <w:t xml:space="preserve"> del producto final</w:t>
      </w:r>
      <w:r w:rsidR="004E1EE4">
        <w:t>.</w:t>
      </w:r>
    </w:p>
    <w:p w:rsidR="004E1EE4" w:rsidRDefault="004E1EE4" w:rsidP="004E1EE4">
      <w:pPr>
        <w:pStyle w:val="TEGCuerpo"/>
        <w:numPr>
          <w:ilvl w:val="0"/>
          <w:numId w:val="20"/>
        </w:numPr>
        <w:spacing w:afterLines="0" w:after="240"/>
      </w:pPr>
      <w:r>
        <w:t>Pruebas</w:t>
      </w:r>
    </w:p>
    <w:p w:rsidR="00846C78" w:rsidRDefault="004E1EE4" w:rsidP="00846C78">
      <w:pPr>
        <w:pStyle w:val="TEGCuerpo"/>
        <w:spacing w:after="240"/>
      </w:pPr>
      <w:r>
        <w:t xml:space="preserve">Todo el código escrito durante la iteración </w:t>
      </w:r>
      <w:r w:rsidR="005F201D">
        <w:t>fue</w:t>
      </w:r>
      <w:r>
        <w:t xml:space="preserve"> probado en esta fase. Las pruebas se </w:t>
      </w:r>
      <w:r w:rsidR="005F201D">
        <w:t>escribieron</w:t>
      </w:r>
      <w:r>
        <w:t xml:space="preserve"> primero y la escritura del código </w:t>
      </w:r>
      <w:r w:rsidR="005F201D">
        <w:t>estuvo orientada a que este las pasará</w:t>
      </w:r>
      <w:r>
        <w:t>.</w:t>
      </w:r>
    </w:p>
    <w:p w:rsidR="00EF02BD" w:rsidRDefault="00EF02BD" w:rsidP="00846C78">
      <w:pPr>
        <w:pStyle w:val="Ttulo1"/>
        <w:spacing w:after="240"/>
      </w:pPr>
      <w:r>
        <w:t>Discusión de resultados</w:t>
      </w:r>
    </w:p>
    <w:p w:rsidR="00846C78" w:rsidRDefault="00846C78" w:rsidP="00846C78">
      <w:pPr>
        <w:pStyle w:val="Ttulo1"/>
        <w:spacing w:after="240"/>
      </w:pPr>
      <w:r>
        <w:t xml:space="preserve">El lenguaje de </w:t>
      </w:r>
      <w:r w:rsidR="00FC7E57">
        <w:t xml:space="preserve">programación </w:t>
      </w:r>
      <w:r w:rsidR="00FC7E57" w:rsidRPr="00AC129A">
        <w:rPr>
          <w:i/>
        </w:rPr>
        <w:t>Compact Graphs</w:t>
      </w:r>
    </w:p>
    <w:p w:rsidR="00846C78" w:rsidRDefault="008D62F5" w:rsidP="00846C78">
      <w:pPr>
        <w:pStyle w:val="TEGCuerpo"/>
        <w:spacing w:after="240"/>
      </w:pPr>
      <w:r>
        <w:t>Como producto final de</w:t>
      </w:r>
      <w:r w:rsidR="00846C78">
        <w:t xml:space="preserve"> esta investigación se </w:t>
      </w:r>
      <w:r w:rsidR="00AC129A">
        <w:t>diseñó</w:t>
      </w:r>
      <w:r w:rsidR="00846C78">
        <w:t xml:space="preserve"> un nuevo lenguaje de programación fuertemente tipado, con chequeo estático de tipos</w:t>
      </w:r>
      <w:r w:rsidR="00FC7E57">
        <w:t xml:space="preserve"> llamado</w:t>
      </w:r>
      <w:r w:rsidR="00AC129A">
        <w:t>s</w:t>
      </w:r>
      <w:r w:rsidR="00FC7E57">
        <w:t xml:space="preserve"> </w:t>
      </w:r>
      <w:r w:rsidR="00FC7E57" w:rsidRPr="00AC129A">
        <w:rPr>
          <w:i/>
        </w:rPr>
        <w:t>Compact Graphs</w:t>
      </w:r>
      <w:r w:rsidR="00FC7E57">
        <w:t xml:space="preserve"> (CG); también se empezó a implementar un compilador </w:t>
      </w:r>
      <w:r w:rsidR="00AC129A">
        <w:t xml:space="preserve">para este lenguaje, </w:t>
      </w:r>
      <w:r w:rsidR="00FC7E57">
        <w:t>orientado a generar ejecutables para la Java Virtual Machine</w:t>
      </w:r>
      <w:r w:rsidR="0081057E">
        <w:t xml:space="preserve"> (JVM)</w:t>
      </w:r>
      <w:r w:rsidR="00FC7E57">
        <w:t>.</w:t>
      </w:r>
    </w:p>
    <w:p w:rsidR="00FC7E57" w:rsidRDefault="00FC7E57" w:rsidP="00846C78">
      <w:pPr>
        <w:pStyle w:val="TEGCuerpo"/>
        <w:spacing w:after="240"/>
      </w:pPr>
      <w:r>
        <w:t>El lenguaje cuenta con una sintaxis</w:t>
      </w:r>
      <w:r w:rsidR="00010EB9">
        <w:t xml:space="preserve"> y semántica</w:t>
      </w:r>
      <w:r>
        <w:t xml:space="preserve"> que intenta emular a la del l</w:t>
      </w:r>
      <w:r w:rsidR="00957C4A">
        <w:t>enguaje de programación Go y</w:t>
      </w:r>
      <w:r>
        <w:t xml:space="preserve"> </w:t>
      </w:r>
      <w:r w:rsidR="00010EB9">
        <w:t xml:space="preserve">cuenta con tipos de datos comunes (entero, flotante, booleano, cadenas de texto) </w:t>
      </w:r>
      <w:r w:rsidR="00EF02BD">
        <w:t xml:space="preserve">así como </w:t>
      </w:r>
      <w:r>
        <w:t xml:space="preserve">la </w:t>
      </w:r>
      <w:r w:rsidR="00010EB9">
        <w:t>inclusión</w:t>
      </w:r>
      <w:r>
        <w:t xml:space="preserve"> de dos tipos de datos: </w:t>
      </w:r>
      <w:r>
        <w:rPr>
          <w:i/>
        </w:rPr>
        <w:t xml:space="preserve">digraph </w:t>
      </w:r>
      <w:r>
        <w:t xml:space="preserve">y </w:t>
      </w:r>
      <w:r>
        <w:rPr>
          <w:i/>
        </w:rPr>
        <w:t>graph</w:t>
      </w:r>
      <w:r>
        <w:t xml:space="preserve"> para grafos dirigidos y no dirigidos respectivamente.</w:t>
      </w:r>
      <w:r w:rsidR="00EF02BD">
        <w:t xml:space="preserve"> </w:t>
      </w:r>
      <w:r w:rsidR="00F56A68">
        <w:t>Por ejemplo, l</w:t>
      </w:r>
      <w:r w:rsidR="00EF02BD">
        <w:t>a declaración de variables en este lenguaje sigue las siguientes reglas gramaticales:</w:t>
      </w:r>
    </w:p>
    <w:p w:rsidR="00EF02BD" w:rsidRPr="00E35AD3" w:rsidRDefault="00E35AD3" w:rsidP="00E35AD3">
      <w:pPr>
        <w:pStyle w:val="Sinespaciado"/>
        <w:spacing w:after="240"/>
        <w:rPr>
          <w:rFonts w:ascii="Cambria Math" w:hAnsi="Cambria Math"/>
        </w:rPr>
      </w:pPr>
      <w:r w:rsidRPr="00E35AD3">
        <w:rPr>
          <w:rFonts w:ascii="Cambria Math" w:hAnsi="Cambria Math"/>
        </w:rPr>
        <w:lastRenderedPageBreak/>
        <w:t>variable = “var” identificador tipo [ “=” expr ]</w:t>
      </w:r>
      <w:r>
        <w:rPr>
          <w:rFonts w:ascii="Cambria Math" w:hAnsi="Cambria Math"/>
        </w:rPr>
        <w:t xml:space="preserve"> </w:t>
      </w:r>
      <w:r w:rsidRPr="00E35AD3">
        <w:rPr>
          <w:rFonts w:ascii="Cambria Math" w:hAnsi="Cambria Math"/>
        </w:rPr>
        <w:t>;</w:t>
      </w:r>
    </w:p>
    <w:p w:rsidR="00E35AD3" w:rsidRPr="00E35AD3" w:rsidRDefault="00FC7E57" w:rsidP="00E35AD3">
      <w:pPr>
        <w:pStyle w:val="TEGCuerpo"/>
        <w:spacing w:after="240"/>
      </w:pPr>
      <w:r>
        <w:t xml:space="preserve">Las reglas gramaticales para </w:t>
      </w:r>
      <w:r w:rsidR="00EF02BD">
        <w:t xml:space="preserve">especificar un literal tipo </w:t>
      </w:r>
      <w:r w:rsidR="0009761D">
        <w:t>grafo</w:t>
      </w:r>
      <w:r w:rsidR="00010EB9">
        <w:t xml:space="preserve"> son las siguientes</w:t>
      </w:r>
      <w:r>
        <w:t>:</w:t>
      </w:r>
    </w:p>
    <w:p w:rsidR="00C36071" w:rsidRPr="00C36071" w:rsidRDefault="00FC7E57" w:rsidP="00C36071">
      <w:pPr>
        <w:pStyle w:val="Cita"/>
        <w:spacing w:afterLines="150" w:after="360"/>
        <w:rPr>
          <w:rFonts w:ascii="Cambria Math" w:hAnsi="Cambria Math"/>
          <w:sz w:val="24"/>
        </w:rPr>
      </w:pPr>
      <w:r w:rsidRPr="00E35AD3">
        <w:rPr>
          <w:rFonts w:ascii="Cambria Math" w:hAnsi="Cambria Math"/>
          <w:sz w:val="24"/>
        </w:rPr>
        <w:t xml:space="preserve">edge = “[“ </w:t>
      </w:r>
      <w:r w:rsidR="00E35AD3">
        <w:rPr>
          <w:rFonts w:ascii="Cambria Math" w:hAnsi="Cambria Math"/>
          <w:sz w:val="24"/>
        </w:rPr>
        <w:t>expresion</w:t>
      </w:r>
      <w:r w:rsidRPr="00E35AD3">
        <w:rPr>
          <w:rFonts w:ascii="Cambria Math" w:hAnsi="Cambria Math"/>
          <w:sz w:val="24"/>
        </w:rPr>
        <w:t xml:space="preserve"> “,” </w:t>
      </w:r>
      <w:r w:rsidR="00E35AD3">
        <w:rPr>
          <w:rFonts w:ascii="Cambria Math" w:hAnsi="Cambria Math"/>
          <w:sz w:val="24"/>
        </w:rPr>
        <w:t>expresion</w:t>
      </w:r>
      <w:r w:rsidRPr="00E35AD3">
        <w:rPr>
          <w:rFonts w:ascii="Cambria Math" w:hAnsi="Cambria Math"/>
          <w:sz w:val="24"/>
        </w:rPr>
        <w:t xml:space="preserve"> “]” ;</w:t>
      </w:r>
      <w:r w:rsidR="00C36071">
        <w:rPr>
          <w:rFonts w:ascii="Cambria Math" w:hAnsi="Cambria Math"/>
          <w:sz w:val="24"/>
        </w:rPr>
        <w:br/>
      </w:r>
      <w:r w:rsidRPr="00E35AD3">
        <w:rPr>
          <w:rFonts w:ascii="Cambria Math" w:hAnsi="Cambria Math"/>
          <w:sz w:val="24"/>
        </w:rPr>
        <w:t xml:space="preserve">graph literal = (“graph”|”digraph”) “(“ </w:t>
      </w:r>
      <w:r w:rsidR="00E35AD3">
        <w:rPr>
          <w:rFonts w:ascii="Cambria Math" w:hAnsi="Cambria Math"/>
          <w:sz w:val="24"/>
        </w:rPr>
        <w:t>expresion</w:t>
      </w:r>
      <w:r w:rsidRPr="00E35AD3">
        <w:rPr>
          <w:rFonts w:ascii="Cambria Math" w:hAnsi="Cambria Math"/>
          <w:sz w:val="24"/>
        </w:rPr>
        <w:t xml:space="preserve"> “)”</w:t>
      </w:r>
      <w:r w:rsidR="00092414">
        <w:rPr>
          <w:rFonts w:ascii="Cambria Math" w:hAnsi="Cambria Math"/>
          <w:sz w:val="24"/>
        </w:rPr>
        <w:t xml:space="preserve"> [ “{“ [ edge { “,” edge } ]</w:t>
      </w:r>
      <w:r w:rsidR="00E35AD3">
        <w:rPr>
          <w:rFonts w:ascii="Cambria Math" w:hAnsi="Cambria Math"/>
          <w:sz w:val="24"/>
        </w:rPr>
        <w:t xml:space="preserve"> “}” ] </w:t>
      </w:r>
      <w:r w:rsidRPr="00E35AD3">
        <w:rPr>
          <w:rFonts w:ascii="Cambria Math" w:hAnsi="Cambria Math"/>
          <w:sz w:val="24"/>
        </w:rPr>
        <w:t>;</w:t>
      </w:r>
    </w:p>
    <w:p w:rsidR="0009761D" w:rsidRDefault="00957C4A" w:rsidP="0009761D">
      <w:pPr>
        <w:pStyle w:val="TEGCuerpo"/>
        <w:spacing w:after="240"/>
      </w:pPr>
      <w:r>
        <w:t xml:space="preserve">Los grafos son inicializados con un número entero que determina la cantidad de nodos que contiene y, opcionalmente, pueden especificarse las aristas de este. </w:t>
      </w:r>
      <w:r w:rsidR="0009761D">
        <w:t>La cantidad de nodos de un grafo es inmutable (debido a las restricciones de los grafos compactos), por lo que agregar nodos a un grafo significa la creación de un grafo nuevo; las aristas no tienen esta restric</w:t>
      </w:r>
      <w:r>
        <w:t>ción, por lo que eliminar o añadir no crea un grafo nuevo</w:t>
      </w:r>
      <w:r w:rsidR="0009761D">
        <w:t>.</w:t>
      </w:r>
    </w:p>
    <w:p w:rsidR="00E35AD3" w:rsidRDefault="00E35AD3" w:rsidP="0009761D">
      <w:pPr>
        <w:pStyle w:val="TEGCuerpo"/>
        <w:spacing w:after="240"/>
      </w:pPr>
      <w:r>
        <w:t>La sub-gramática para expresiones es la siguiente</w:t>
      </w:r>
      <w:r w:rsidR="00C36071">
        <w:t xml:space="preserve"> (el orden define precedencia; las reglas que aparecen primero tienen mayor precedencia)</w:t>
      </w:r>
      <w:r>
        <w:t>:</w:t>
      </w:r>
    </w:p>
    <w:p w:rsidR="00C36071" w:rsidRDefault="00C36071" w:rsidP="00C36071">
      <w:pPr>
        <w:pStyle w:val="Sinespaciado"/>
        <w:spacing w:afterLines="150" w:after="360"/>
        <w:jc w:val="left"/>
        <w:rPr>
          <w:rFonts w:ascii="Cambria Math" w:hAnsi="Cambria Math"/>
        </w:rPr>
      </w:pPr>
      <w:r>
        <w:rPr>
          <w:rFonts w:ascii="Cambria Math" w:hAnsi="Cambria Math"/>
        </w:rPr>
        <w:t>expr = atom</w:t>
      </w:r>
      <w:r>
        <w:rPr>
          <w:rFonts w:ascii="Cambria Math" w:hAnsi="Cambria Math"/>
        </w:rPr>
        <w:br/>
        <w:t xml:space="preserve">           |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expr</w:t>
      </w:r>
      <w:r>
        <w:rPr>
          <w:rFonts w:ascii="Cambria Math" w:hAnsi="Cambria Math"/>
        </w:rPr>
        <w:br/>
        <w:t xml:space="preserve">           | “(“ expr “)”</w:t>
      </w:r>
      <w:r>
        <w:rPr>
          <w:rFonts w:ascii="Cambria Math" w:hAnsi="Cambria Math"/>
        </w:rPr>
        <w:br/>
        <w:t xml:space="preserve">           | expr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expr</w:t>
      </w:r>
      <w:r>
        <w:rPr>
          <w:rFonts w:ascii="Cambria Math" w:hAnsi="Cambria Math"/>
        </w:rPr>
        <w:br/>
        <w:t xml:space="preserve">           | expr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expr</w:t>
      </w:r>
      <w:r>
        <w:rPr>
          <w:rFonts w:ascii="Cambria Math" w:hAnsi="Cambria Math"/>
        </w:rPr>
        <w:br/>
        <w:t xml:space="preserve">           | expr (“&gt;”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”&lt;”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”&gt;=”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”&lt;=”) expr</w:t>
      </w:r>
      <w:r>
        <w:rPr>
          <w:rFonts w:ascii="Cambria Math" w:hAnsi="Cambria Math"/>
        </w:rPr>
        <w:br/>
        <w:t xml:space="preserve">           | expr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expr</w:t>
      </w:r>
      <w:r>
        <w:rPr>
          <w:rFonts w:ascii="Cambria Math" w:hAnsi="Cambria Math"/>
        </w:rPr>
        <w:br/>
        <w:t xml:space="preserve">           | expr “&amp;&amp;” expr</w:t>
      </w:r>
      <w:r>
        <w:rPr>
          <w:rFonts w:ascii="Cambria Math" w:hAnsi="Cambria Math"/>
        </w:rPr>
        <w:br/>
        <w:t xml:space="preserve">           | expr “||” expr ;</w:t>
      </w:r>
    </w:p>
    <w:p w:rsidR="00FC7E57" w:rsidRDefault="00010EB9" w:rsidP="00C36071">
      <w:pPr>
        <w:pStyle w:val="TEGCuerpo"/>
        <w:spacing w:after="240"/>
      </w:pPr>
      <w:r>
        <w:t>Actualmente</w:t>
      </w:r>
      <w:r w:rsidR="0009761D">
        <w:t xml:space="preserve"> las operaciones </w:t>
      </w:r>
      <w:r>
        <w:t xml:space="preserve">binarias </w:t>
      </w:r>
      <w:r w:rsidR="0009761D">
        <w:t>sobre grafos que soporta el lenguaje son: unión</w:t>
      </w:r>
      <w:r>
        <w:t xml:space="preserve"> (||)</w:t>
      </w:r>
      <w:r w:rsidR="0009761D">
        <w:t>, intersección</w:t>
      </w:r>
      <w:r>
        <w:t xml:space="preserve"> (&amp;&amp;) y complemento (-)</w:t>
      </w:r>
      <w:r w:rsidR="0009761D">
        <w:t xml:space="preserve"> del conjunto </w:t>
      </w:r>
      <w:r>
        <w:t>de aristas si y solo si ambos grafos tienen el mismo número de nodos. La única operación unaria que puede ser ejecutada sobre un grafo es la negación (!) de sus aristas.</w:t>
      </w:r>
    </w:p>
    <w:p w:rsidR="0081057E" w:rsidRDefault="0081057E" w:rsidP="0081057E">
      <w:pPr>
        <w:pStyle w:val="Ttulo1"/>
        <w:spacing w:after="240"/>
        <w:rPr>
          <w:i/>
        </w:rPr>
      </w:pPr>
      <w:r>
        <w:t xml:space="preserve">El compilador </w:t>
      </w:r>
      <w:r w:rsidRPr="0081057E">
        <w:rPr>
          <w:i/>
        </w:rPr>
        <w:t>cgc</w:t>
      </w:r>
    </w:p>
    <w:p w:rsidR="0081057E" w:rsidRDefault="0081057E" w:rsidP="0081057E">
      <w:pPr>
        <w:pStyle w:val="TEGCuerpo"/>
        <w:spacing w:after="240"/>
      </w:pPr>
      <w:r>
        <w:t>Como parte de la creación del lenguaje CG se creó a la par un compilador para el mismo, escrito en el lenguaje de programación Kotlin y que genera ejecutables para la JVM.</w:t>
      </w:r>
    </w:p>
    <w:p w:rsidR="0081057E" w:rsidRDefault="00F56A68" w:rsidP="00F56A68">
      <w:pPr>
        <w:pStyle w:val="TEGCuerpo"/>
        <w:keepNext/>
        <w:spacing w:after="240"/>
        <w:jc w:val="center"/>
      </w:pPr>
      <w:r>
        <w:rPr>
          <w:noProof/>
          <w:lang w:val="en-US"/>
        </w:rPr>
        <w:lastRenderedPageBreak/>
        <w:drawing>
          <wp:inline distT="0" distB="0" distL="0" distR="0" wp14:anchorId="7C75C990" wp14:editId="4DC29EFC">
            <wp:extent cx="6028055" cy="7905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9">
                      <a:extLst>
                        <a:ext uri="{28A0092B-C50C-407E-A947-70E740481C1C}">
                          <a14:useLocalDpi xmlns:a14="http://schemas.microsoft.com/office/drawing/2010/main" val="0"/>
                        </a:ext>
                      </a:extLst>
                    </a:blip>
                    <a:stretch>
                      <a:fillRect/>
                    </a:stretch>
                  </pic:blipFill>
                  <pic:spPr>
                    <a:xfrm>
                      <a:off x="0" y="0"/>
                      <a:ext cx="6028055" cy="790575"/>
                    </a:xfrm>
                    <a:prstGeom prst="rect">
                      <a:avLst/>
                    </a:prstGeom>
                  </pic:spPr>
                </pic:pic>
              </a:graphicData>
            </a:graphic>
          </wp:inline>
        </w:drawing>
      </w:r>
      <w:r w:rsidR="0005419A">
        <w:t>Fuente: Propia, 2016</w:t>
      </w:r>
    </w:p>
    <w:p w:rsidR="0005419A" w:rsidRDefault="0005419A" w:rsidP="0005419A">
      <w:pPr>
        <w:pStyle w:val="TEGCuerpo"/>
        <w:spacing w:after="240"/>
      </w:pPr>
      <w:r>
        <w:t xml:space="preserve">El compilador recibe la ruta de un archivo con código fuente y </w:t>
      </w:r>
      <w:r w:rsidR="005B3FE0">
        <w:t>el contenido de este pasa por siete etapas:</w:t>
      </w:r>
    </w:p>
    <w:p w:rsidR="005B3FE0" w:rsidRDefault="005B3FE0" w:rsidP="005B3FE0">
      <w:pPr>
        <w:pStyle w:val="TEGCuerpo"/>
        <w:numPr>
          <w:ilvl w:val="0"/>
          <w:numId w:val="45"/>
        </w:numPr>
        <w:spacing w:after="240"/>
      </w:pPr>
      <w:r>
        <w:t xml:space="preserve">Análisis léxico: el analizador léxico lee el archivo de código fuente y separa el texto en </w:t>
      </w:r>
      <w:r w:rsidRPr="005B3FE0">
        <w:rPr>
          <w:i/>
        </w:rPr>
        <w:t>tokens</w:t>
      </w:r>
      <w:r>
        <w:t>, que serán enviados al analizador sintáctico. Este analizador es generado por ANTLR 4.</w:t>
      </w:r>
    </w:p>
    <w:p w:rsidR="005B3FE0" w:rsidRDefault="005B3FE0" w:rsidP="005B3FE0">
      <w:pPr>
        <w:pStyle w:val="TEGCuerpo"/>
        <w:numPr>
          <w:ilvl w:val="0"/>
          <w:numId w:val="45"/>
        </w:numPr>
        <w:spacing w:after="240"/>
      </w:pPr>
      <w:r>
        <w:t xml:space="preserve">Análisis sintáctico: el analizador sintáctico recibe los </w:t>
      </w:r>
      <w:r w:rsidRPr="005B3FE0">
        <w:rPr>
          <w:i/>
        </w:rPr>
        <w:t>tokens</w:t>
      </w:r>
      <w:r>
        <w:rPr>
          <w:i/>
        </w:rPr>
        <w:t xml:space="preserve"> </w:t>
      </w:r>
      <w:r>
        <w:t>resultantes del análisis léxico y verifica que el orden de estos cumpla con la estructura gramatical del lenguaje. Este analizador es generado por ANTLR 4.</w:t>
      </w:r>
    </w:p>
    <w:p w:rsidR="005B3FE0" w:rsidRDefault="00001986" w:rsidP="005B3FE0">
      <w:pPr>
        <w:pStyle w:val="TEGCuerpo"/>
        <w:numPr>
          <w:ilvl w:val="0"/>
          <w:numId w:val="45"/>
        </w:numPr>
        <w:spacing w:after="240"/>
      </w:pPr>
      <w:r>
        <w:t>Chequeo de símbolos globales: es la primera etapa del análisis semántico</w:t>
      </w:r>
      <w:r w:rsidR="00041AB9">
        <w:t>, en ella se introducen a la tabla de símbolos las vari</w:t>
      </w:r>
      <w:r w:rsidR="0004533E">
        <w:t xml:space="preserve">ables globales y las funciones. También se verifica que exista una función llamada </w:t>
      </w:r>
      <w:r w:rsidR="0004533E" w:rsidRPr="0004533E">
        <w:rPr>
          <w:i/>
        </w:rPr>
        <w:t>main</w:t>
      </w:r>
      <w:r w:rsidR="0004533E">
        <w:t xml:space="preserve"> que no recibe argumentos y no tiene valor de retorno, que es el punto de entrada del ejecutable.</w:t>
      </w:r>
    </w:p>
    <w:p w:rsidR="0004533E" w:rsidRDefault="0004533E" w:rsidP="005B3FE0">
      <w:pPr>
        <w:pStyle w:val="TEGCuerpo"/>
        <w:numPr>
          <w:ilvl w:val="0"/>
          <w:numId w:val="45"/>
        </w:numPr>
        <w:spacing w:after="240"/>
      </w:pPr>
      <w:r>
        <w:t>Chequeo estructural: es la segunda etapa del análisis semántico en esta etapa se verifica que las funciones con o sin tipo de retorno retornen o no valores, respectivamente; se verifica también que las sentencias de control (</w:t>
      </w:r>
      <w:r w:rsidRPr="0004533E">
        <w:rPr>
          <w:i/>
        </w:rPr>
        <w:t>continue</w:t>
      </w:r>
      <w:r>
        <w:t xml:space="preserve"> y </w:t>
      </w:r>
      <w:r w:rsidRPr="0004533E">
        <w:rPr>
          <w:i/>
        </w:rPr>
        <w:t>break</w:t>
      </w:r>
      <w:r>
        <w:t>) se encuentren dentro de bucles.</w:t>
      </w:r>
    </w:p>
    <w:p w:rsidR="0004533E" w:rsidRDefault="0004533E" w:rsidP="005B3FE0">
      <w:pPr>
        <w:pStyle w:val="TEGCuerpo"/>
        <w:numPr>
          <w:ilvl w:val="0"/>
          <w:numId w:val="45"/>
        </w:numPr>
        <w:spacing w:after="240"/>
      </w:pPr>
      <w:r>
        <w:t xml:space="preserve">Verificación de tipos: es la última etapa del análisis semántico, durante esta etapa se verifica que todas las operaciones, asignaciones, llamadas a funciones y casteos cumplan con las restricciones de tipos impuestas </w:t>
      </w:r>
      <w:r>
        <w:lastRenderedPageBreak/>
        <w:t xml:space="preserve">por el lenguaje. Si al finalizar esta etapa no se ha reportado ningún error se pasa a las dos últimas fases. </w:t>
      </w:r>
    </w:p>
    <w:p w:rsidR="0004533E" w:rsidRDefault="0004533E" w:rsidP="005B3FE0">
      <w:pPr>
        <w:pStyle w:val="TEGCuerpo"/>
        <w:numPr>
          <w:ilvl w:val="0"/>
          <w:numId w:val="45"/>
        </w:numPr>
        <w:spacing w:after="240"/>
      </w:pPr>
      <w:r>
        <w:t>Pre-generación: durante esta etapa se les asigna un índice numérico tanto a los argumentos como a las variables declaradas dentro de una función. Esta información es requerida por la JVM para cada función.</w:t>
      </w:r>
    </w:p>
    <w:p w:rsidR="0004533E" w:rsidRDefault="001B1227" w:rsidP="005B3FE0">
      <w:pPr>
        <w:pStyle w:val="TEGCuerpo"/>
        <w:numPr>
          <w:ilvl w:val="0"/>
          <w:numId w:val="45"/>
        </w:numPr>
        <w:spacing w:after="240"/>
      </w:pPr>
      <w:r>
        <w:t>Generación: es en esta etapa todo el código final es generado y empaquetado en formato JAR ejecutable.</w:t>
      </w:r>
    </w:p>
    <w:p w:rsidR="00550AA5" w:rsidRDefault="00550AA5" w:rsidP="00550AA5">
      <w:pPr>
        <w:pStyle w:val="Ttulo1"/>
        <w:spacing w:after="240"/>
      </w:pPr>
      <w:r>
        <w:t>Conclusiones</w:t>
      </w:r>
    </w:p>
    <w:p w:rsidR="00550AA5" w:rsidRDefault="00770CFB" w:rsidP="00ED0757">
      <w:pPr>
        <w:pStyle w:val="TEGCuerpo"/>
        <w:spacing w:after="240"/>
      </w:pPr>
      <w:r>
        <w:t xml:space="preserve">La representación y el manejo eficiente de grafos son </w:t>
      </w:r>
      <w:r w:rsidR="00ED0757">
        <w:t>necesarios</w:t>
      </w:r>
      <w:r>
        <w:t xml:space="preserve"> en diversos campos de la ciencia, de forma de poder estudiar las propiedades de las redes estudiadas</w:t>
      </w:r>
      <w:r w:rsidR="00ED0757">
        <w:t xml:space="preserve"> en esos campos. Con este trabajo, se espera haber mejorado la situación actual de las herramientas de manipulación de grafos.</w:t>
      </w:r>
    </w:p>
    <w:p w:rsidR="00291113" w:rsidRDefault="00ED0757" w:rsidP="00B51B39">
      <w:pPr>
        <w:pStyle w:val="TEGCuerpo"/>
        <w:spacing w:after="240"/>
      </w:pPr>
      <w:r>
        <w:t>No solo con la creación de un nuevo lenguaje de programación, sino la de una nueva representación</w:t>
      </w:r>
      <w:r w:rsidR="00B94557">
        <w:t xml:space="preserve"> computacional</w:t>
      </w:r>
      <w:r>
        <w:t xml:space="preserve"> más eficiente en cuanto a uso de memoria</w:t>
      </w:r>
      <w:r w:rsidR="00B94557">
        <w:t xml:space="preserve">, </w:t>
      </w:r>
      <w:r w:rsidR="00110D61">
        <w:t xml:space="preserve">se puede mejorar sustancialmente la manipulación de redes muy grandes, que </w:t>
      </w:r>
      <w:r w:rsidR="00217852">
        <w:t>son cada vez más frecuentes en la naturaleza.</w:t>
      </w:r>
    </w:p>
    <w:p w:rsidR="00CB65BF" w:rsidRDefault="001B1227" w:rsidP="007C6221">
      <w:pPr>
        <w:pStyle w:val="Ttulo1"/>
        <w:spacing w:after="240"/>
      </w:pPr>
      <w:r>
        <w:t>Recomendaciones</w:t>
      </w:r>
    </w:p>
    <w:p w:rsidR="007C6221" w:rsidRPr="007C6221" w:rsidRDefault="00B51B39" w:rsidP="00291113">
      <w:pPr>
        <w:pStyle w:val="TEGCuerpo"/>
        <w:spacing w:after="240"/>
      </w:pPr>
      <w:r>
        <w:t xml:space="preserve">El diseño del lenguaje estuvo orientado a hacer </w:t>
      </w:r>
      <w:r w:rsidR="008F705A">
        <w:t>de</w:t>
      </w:r>
      <w:r>
        <w:t xml:space="preserve"> este lo más pequeño y simple posible, </w:t>
      </w:r>
      <w:r w:rsidR="008F705A">
        <w:t xml:space="preserve">debido a esto, mucha funcionalidad debe ser implementada en forma de funciones de </w:t>
      </w:r>
      <w:r w:rsidR="00A3726A">
        <w:t>una librería estándar.</w:t>
      </w:r>
    </w:p>
    <w:p w:rsidR="00610386" w:rsidRDefault="00610386" w:rsidP="004260EA">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Aho, A., Lam, M., Sethi, R. y Ullman, J. (2006): </w:t>
      </w:r>
      <w:r w:rsidRPr="00231263">
        <w:rPr>
          <w:rFonts w:ascii="Arial" w:eastAsia="Times New Roman" w:hAnsi="Arial" w:cs="Arial"/>
          <w:b/>
          <w:sz w:val="24"/>
          <w:szCs w:val="24"/>
          <w:lang w:val="en-US"/>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Segunda Edición. Addison Weaslie.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Barabási, A. (2002): </w:t>
      </w:r>
      <w:r w:rsidRPr="00231263">
        <w:rPr>
          <w:rFonts w:ascii="Arial" w:eastAsia="Times New Roman" w:hAnsi="Arial" w:cs="Arial"/>
          <w:b/>
          <w:sz w:val="24"/>
          <w:szCs w:val="24"/>
          <w:lang w:val="en-US"/>
        </w:rPr>
        <w:t>Linked: The New Science of Networks</w:t>
      </w:r>
      <w:r>
        <w:rPr>
          <w:rFonts w:ascii="Arial" w:eastAsia="Times New Roman" w:hAnsi="Arial" w:cs="Arial"/>
          <w:b/>
          <w:sz w:val="24"/>
          <w:szCs w:val="24"/>
        </w:rPr>
        <w:t xml:space="preserve">. </w:t>
      </w:r>
      <w:r>
        <w:rPr>
          <w:rFonts w:ascii="Arial" w:eastAsia="Times New Roman" w:hAnsi="Arial" w:cs="Arial"/>
          <w:sz w:val="24"/>
          <w:szCs w:val="24"/>
        </w:rPr>
        <w:t>Primera edición. Cambridge, Estados Unidos. Perseus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231263">
        <w:rPr>
          <w:rFonts w:ascii="Arial" w:eastAsia="Times New Roman" w:hAnsi="Arial" w:cs="Arial"/>
          <w:b/>
          <w:sz w:val="24"/>
          <w:szCs w:val="24"/>
          <w:lang w:val="en-US"/>
        </w:rPr>
        <w:t xml:space="preserve">Introduction to </w:t>
      </w:r>
      <w:r w:rsidRPr="00231263">
        <w:rPr>
          <w:rFonts w:ascii="Arial" w:eastAsia="Times New Roman" w:hAnsi="Arial" w:cs="Arial"/>
          <w:b/>
          <w:sz w:val="24"/>
          <w:szCs w:val="24"/>
          <w:lang w:val="en-US"/>
        </w:rPr>
        <w:lastRenderedPageBreak/>
        <w:t>Algorithms</w:t>
      </w:r>
      <w:r>
        <w:rPr>
          <w:rFonts w:ascii="Arial" w:eastAsia="Times New Roman" w:hAnsi="Arial" w:cs="Arial"/>
          <w:b/>
          <w:sz w:val="24"/>
          <w:szCs w:val="24"/>
        </w:rPr>
        <w:t>.</w:t>
      </w:r>
      <w:r>
        <w:rPr>
          <w:rFonts w:ascii="Arial" w:eastAsia="Times New Roman" w:hAnsi="Arial" w:cs="Arial"/>
          <w:sz w:val="24"/>
          <w:szCs w:val="24"/>
        </w:rPr>
        <w:t xml:space="preserve"> Tercera edición. </w:t>
      </w:r>
      <w:r w:rsidRPr="00231263">
        <w:rPr>
          <w:rFonts w:ascii="Arial" w:eastAsia="Times New Roman" w:hAnsi="Arial" w:cs="Arial"/>
          <w:sz w:val="24"/>
          <w:szCs w:val="24"/>
          <w:lang w:val="en-US"/>
        </w:rPr>
        <w:t>The MIT Press</w:t>
      </w:r>
      <w:r>
        <w:rPr>
          <w:rFonts w:ascii="Arial" w:eastAsia="Times New Roman" w:hAnsi="Arial" w:cs="Arial"/>
          <w:sz w:val="24"/>
          <w:szCs w:val="24"/>
        </w:rPr>
        <w:t>. 1251pp</w:t>
      </w:r>
    </w:p>
    <w:p w:rsidR="00DC3D0E" w:rsidRDefault="00DC3D0E" w:rsidP="00610386">
      <w:pPr>
        <w:widowControl w:val="0"/>
        <w:spacing w:after="0" w:line="240" w:lineRule="auto"/>
        <w:jc w:val="both"/>
        <w:rPr>
          <w:rFonts w:ascii="Arial" w:eastAsia="Times New Roman" w:hAnsi="Arial" w:cs="Arial"/>
          <w:sz w:val="24"/>
          <w:szCs w:val="24"/>
        </w:rPr>
      </w:pPr>
    </w:p>
    <w:p w:rsidR="00DC3D0E" w:rsidRDefault="00DC3D0E" w:rsidP="00610386">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Marsh, J. (2014): </w:t>
      </w:r>
      <w:r w:rsidRPr="004D46D4">
        <w:rPr>
          <w:rFonts w:ascii="Arial" w:eastAsia="Times New Roman" w:hAnsi="Arial" w:cs="Arial"/>
          <w:b/>
          <w:sz w:val="24"/>
          <w:szCs w:val="24"/>
        </w:rPr>
        <w:t xml:space="preserve">An Overview of Extreme Programming.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bookmarkStart w:id="4" w:name="_GoBack"/>
      <w:bookmarkEnd w:id="4"/>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Mitchell, M. (2009): </w:t>
      </w:r>
      <w:r w:rsidRPr="00231263">
        <w:rPr>
          <w:rFonts w:ascii="Arial" w:eastAsia="Times New Roman" w:hAnsi="Arial" w:cs="Arial"/>
          <w:b/>
          <w:sz w:val="24"/>
          <w:szCs w:val="24"/>
          <w:lang w:val="en-US"/>
        </w:rPr>
        <w:t>Complexity: A Guided Tour</w:t>
      </w:r>
      <w:r>
        <w:rPr>
          <w:rFonts w:ascii="Arial" w:eastAsia="Times New Roman" w:hAnsi="Arial" w:cs="Arial"/>
          <w:b/>
          <w:sz w:val="24"/>
          <w:szCs w:val="24"/>
        </w:rPr>
        <w:t xml:space="preserve">. </w:t>
      </w:r>
      <w:r>
        <w:rPr>
          <w:rFonts w:ascii="Arial" w:eastAsia="Times New Roman" w:hAnsi="Arial" w:cs="Arial"/>
          <w:sz w:val="24"/>
          <w:szCs w:val="24"/>
        </w:rPr>
        <w:t xml:space="preserve">Primera edición. Nueva York, Estados Unidos. </w:t>
      </w:r>
      <w:r w:rsidRPr="00231263">
        <w:rPr>
          <w:rFonts w:ascii="Arial" w:eastAsia="Times New Roman" w:hAnsi="Arial" w:cs="Arial"/>
          <w:sz w:val="24"/>
          <w:szCs w:val="24"/>
          <w:lang w:val="en-US"/>
        </w:rPr>
        <w:t>Oxford University Press.</w:t>
      </w:r>
      <w:r>
        <w:rPr>
          <w:rFonts w:ascii="Arial" w:eastAsia="Times New Roman" w:hAnsi="Arial" w:cs="Arial"/>
          <w:sz w:val="24"/>
          <w:szCs w:val="24"/>
        </w:rPr>
        <w:t xml:space="preserve"> 227-288.</w:t>
      </w:r>
    </w:p>
    <w:p w:rsidR="00610386" w:rsidRDefault="00610386" w:rsidP="00610386">
      <w:pPr>
        <w:widowControl w:val="0"/>
        <w:spacing w:after="0" w:line="240" w:lineRule="auto"/>
        <w:jc w:val="both"/>
        <w:rPr>
          <w:rFonts w:ascii="Arial" w:eastAsia="Times New Roman" w:hAnsi="Arial" w:cs="Arial"/>
          <w:sz w:val="24"/>
          <w:szCs w:val="24"/>
        </w:rPr>
      </w:pPr>
    </w:p>
    <w:p w:rsidR="002A5C4E" w:rsidRDefault="002A5C4E"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(2012): </w:t>
      </w:r>
      <w:r w:rsidRPr="006E2EBB">
        <w:rPr>
          <w:rFonts w:ascii="Arial" w:eastAsia="Times New Roman" w:hAnsi="Arial" w:cs="Arial"/>
          <w:b/>
          <w:sz w:val="24"/>
          <w:szCs w:val="24"/>
        </w:rPr>
        <w:t>The Definitive ANTLR 4 Reference</w:t>
      </w:r>
      <w:r>
        <w:rPr>
          <w:rFonts w:ascii="Arial" w:eastAsia="Times New Roman" w:hAnsi="Arial" w:cs="Arial"/>
          <w:b/>
          <w:sz w:val="24"/>
          <w:szCs w:val="24"/>
        </w:rPr>
        <w:t xml:space="preserve">. </w:t>
      </w:r>
      <w:r>
        <w:rPr>
          <w:rFonts w:ascii="Arial" w:eastAsia="Times New Roman" w:hAnsi="Arial" w:cs="Arial"/>
          <w:sz w:val="24"/>
          <w:szCs w:val="24"/>
        </w:rPr>
        <w:t xml:space="preserve">Primera edición. Texas, Estados Unidos. </w:t>
      </w:r>
      <w:r w:rsidRPr="00292985">
        <w:rPr>
          <w:rFonts w:ascii="Arial" w:eastAsia="Times New Roman" w:hAnsi="Arial" w:cs="Arial"/>
          <w:sz w:val="24"/>
          <w:szCs w:val="24"/>
        </w:rPr>
        <w:t>The Pragmatic Bookshelf</w:t>
      </w:r>
      <w:r>
        <w:rPr>
          <w:rFonts w:ascii="Arial" w:eastAsia="Times New Roman" w:hAnsi="Arial" w:cs="Arial"/>
          <w:sz w:val="24"/>
          <w:szCs w:val="24"/>
        </w:rPr>
        <w:t>. 322pp.</w:t>
      </w:r>
    </w:p>
    <w:p w:rsidR="002A5C4E" w:rsidRDefault="002A5C4E"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231263">
        <w:rPr>
          <w:rFonts w:ascii="Arial" w:eastAsia="Times New Roman" w:hAnsi="Arial" w:cs="Arial"/>
          <w:b/>
          <w:sz w:val="24"/>
          <w:szCs w:val="24"/>
          <w:lang w:val="en-US"/>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10"/>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663" w:rsidRDefault="00075663" w:rsidP="004C0648">
      <w:pPr>
        <w:spacing w:after="0" w:line="240" w:lineRule="auto"/>
      </w:pPr>
      <w:r>
        <w:separator/>
      </w:r>
    </w:p>
  </w:endnote>
  <w:endnote w:type="continuationSeparator" w:id="0">
    <w:p w:rsidR="00075663" w:rsidRDefault="00075663"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663" w:rsidRDefault="00075663" w:rsidP="004C0648">
      <w:pPr>
        <w:spacing w:after="0" w:line="240" w:lineRule="auto"/>
      </w:pPr>
      <w:r>
        <w:separator/>
      </w:r>
    </w:p>
  </w:footnote>
  <w:footnote w:type="continuationSeparator" w:id="0">
    <w:p w:rsidR="00075663" w:rsidRDefault="00075663"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C6800"/>
    <w:multiLevelType w:val="hybridMultilevel"/>
    <w:tmpl w:val="070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D54E6D"/>
    <w:multiLevelType w:val="hybridMultilevel"/>
    <w:tmpl w:val="E0B8B0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7A204E"/>
    <w:multiLevelType w:val="hybridMultilevel"/>
    <w:tmpl w:val="0024DF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9">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41">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4"/>
  </w:num>
  <w:num w:numId="18">
    <w:abstractNumId w:val="24"/>
  </w:num>
  <w:num w:numId="19">
    <w:abstractNumId w:val="41"/>
  </w:num>
  <w:num w:numId="20">
    <w:abstractNumId w:val="42"/>
  </w:num>
  <w:num w:numId="21">
    <w:abstractNumId w:val="9"/>
  </w:num>
  <w:num w:numId="22">
    <w:abstractNumId w:val="26"/>
  </w:num>
  <w:num w:numId="23">
    <w:abstractNumId w:val="36"/>
  </w:num>
  <w:num w:numId="24">
    <w:abstractNumId w:val="38"/>
  </w:num>
  <w:num w:numId="25">
    <w:abstractNumId w:val="40"/>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9"/>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33"/>
  </w:num>
  <w:num w:numId="44">
    <w:abstractNumId w:val="3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0BA5"/>
    <w:rsid w:val="00001986"/>
    <w:rsid w:val="00003481"/>
    <w:rsid w:val="00006416"/>
    <w:rsid w:val="00006B95"/>
    <w:rsid w:val="00010EB9"/>
    <w:rsid w:val="00012D60"/>
    <w:rsid w:val="0002126C"/>
    <w:rsid w:val="00041AB9"/>
    <w:rsid w:val="0004533E"/>
    <w:rsid w:val="00050F94"/>
    <w:rsid w:val="0005103D"/>
    <w:rsid w:val="0005419A"/>
    <w:rsid w:val="00071C64"/>
    <w:rsid w:val="0007373D"/>
    <w:rsid w:val="0007466C"/>
    <w:rsid w:val="00075663"/>
    <w:rsid w:val="00092414"/>
    <w:rsid w:val="00095589"/>
    <w:rsid w:val="0009761D"/>
    <w:rsid w:val="000E51C2"/>
    <w:rsid w:val="000E713C"/>
    <w:rsid w:val="000F1AFF"/>
    <w:rsid w:val="000F2B4C"/>
    <w:rsid w:val="00110D61"/>
    <w:rsid w:val="001263C0"/>
    <w:rsid w:val="00135ADF"/>
    <w:rsid w:val="001362EC"/>
    <w:rsid w:val="0014197E"/>
    <w:rsid w:val="0014446A"/>
    <w:rsid w:val="001466CE"/>
    <w:rsid w:val="00171564"/>
    <w:rsid w:val="00192CA6"/>
    <w:rsid w:val="001A3D3B"/>
    <w:rsid w:val="001A539F"/>
    <w:rsid w:val="001B1227"/>
    <w:rsid w:val="001D429D"/>
    <w:rsid w:val="001E2175"/>
    <w:rsid w:val="001F5958"/>
    <w:rsid w:val="00202C86"/>
    <w:rsid w:val="00217852"/>
    <w:rsid w:val="002242C3"/>
    <w:rsid w:val="00231263"/>
    <w:rsid w:val="00231876"/>
    <w:rsid w:val="00240312"/>
    <w:rsid w:val="00241DB4"/>
    <w:rsid w:val="00247084"/>
    <w:rsid w:val="00252E89"/>
    <w:rsid w:val="00260AF2"/>
    <w:rsid w:val="00263025"/>
    <w:rsid w:val="002672AA"/>
    <w:rsid w:val="0027344E"/>
    <w:rsid w:val="00275758"/>
    <w:rsid w:val="0027751E"/>
    <w:rsid w:val="0028171A"/>
    <w:rsid w:val="0028184F"/>
    <w:rsid w:val="00283DAE"/>
    <w:rsid w:val="00291113"/>
    <w:rsid w:val="0029144E"/>
    <w:rsid w:val="00292985"/>
    <w:rsid w:val="00295709"/>
    <w:rsid w:val="002A5C4E"/>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562"/>
    <w:rsid w:val="00425667"/>
    <w:rsid w:val="004260EA"/>
    <w:rsid w:val="00450137"/>
    <w:rsid w:val="004535C0"/>
    <w:rsid w:val="00454F77"/>
    <w:rsid w:val="0047471E"/>
    <w:rsid w:val="00476BBF"/>
    <w:rsid w:val="0049038E"/>
    <w:rsid w:val="004953F9"/>
    <w:rsid w:val="004C0648"/>
    <w:rsid w:val="004C081F"/>
    <w:rsid w:val="004D46D4"/>
    <w:rsid w:val="004E1EE4"/>
    <w:rsid w:val="004F321A"/>
    <w:rsid w:val="0050190C"/>
    <w:rsid w:val="005174A6"/>
    <w:rsid w:val="00542E69"/>
    <w:rsid w:val="00545726"/>
    <w:rsid w:val="00550AA5"/>
    <w:rsid w:val="00563A0C"/>
    <w:rsid w:val="0057591C"/>
    <w:rsid w:val="00576994"/>
    <w:rsid w:val="00584C5E"/>
    <w:rsid w:val="00590950"/>
    <w:rsid w:val="00590978"/>
    <w:rsid w:val="00590AB9"/>
    <w:rsid w:val="005915E3"/>
    <w:rsid w:val="005975AB"/>
    <w:rsid w:val="005A4B73"/>
    <w:rsid w:val="005A6C30"/>
    <w:rsid w:val="005B3FE0"/>
    <w:rsid w:val="005C46A7"/>
    <w:rsid w:val="005C51A3"/>
    <w:rsid w:val="005C7D97"/>
    <w:rsid w:val="005F201D"/>
    <w:rsid w:val="005F3F3B"/>
    <w:rsid w:val="006063BF"/>
    <w:rsid w:val="006066B6"/>
    <w:rsid w:val="006069E9"/>
    <w:rsid w:val="00610386"/>
    <w:rsid w:val="006271E0"/>
    <w:rsid w:val="00691DA6"/>
    <w:rsid w:val="0069312C"/>
    <w:rsid w:val="00693D2C"/>
    <w:rsid w:val="006A1F1C"/>
    <w:rsid w:val="006B5111"/>
    <w:rsid w:val="006B5A27"/>
    <w:rsid w:val="006C02A1"/>
    <w:rsid w:val="006C1056"/>
    <w:rsid w:val="006E2EBB"/>
    <w:rsid w:val="006E439E"/>
    <w:rsid w:val="006E76A5"/>
    <w:rsid w:val="0070490A"/>
    <w:rsid w:val="00704D34"/>
    <w:rsid w:val="00715754"/>
    <w:rsid w:val="00732811"/>
    <w:rsid w:val="0074656A"/>
    <w:rsid w:val="0076611B"/>
    <w:rsid w:val="00770CFB"/>
    <w:rsid w:val="00775E02"/>
    <w:rsid w:val="00790A01"/>
    <w:rsid w:val="00793C61"/>
    <w:rsid w:val="007A419E"/>
    <w:rsid w:val="007B00B4"/>
    <w:rsid w:val="007B2D87"/>
    <w:rsid w:val="007C28B7"/>
    <w:rsid w:val="007C6221"/>
    <w:rsid w:val="007E4078"/>
    <w:rsid w:val="007F71F0"/>
    <w:rsid w:val="0081057E"/>
    <w:rsid w:val="00812902"/>
    <w:rsid w:val="0082554F"/>
    <w:rsid w:val="008274CA"/>
    <w:rsid w:val="0083411E"/>
    <w:rsid w:val="008377C1"/>
    <w:rsid w:val="0084391C"/>
    <w:rsid w:val="00846C78"/>
    <w:rsid w:val="00867CF5"/>
    <w:rsid w:val="00885100"/>
    <w:rsid w:val="00886338"/>
    <w:rsid w:val="00886B99"/>
    <w:rsid w:val="00895CFE"/>
    <w:rsid w:val="008A531A"/>
    <w:rsid w:val="008B53FA"/>
    <w:rsid w:val="008C5D75"/>
    <w:rsid w:val="008C7545"/>
    <w:rsid w:val="008D3DB3"/>
    <w:rsid w:val="008D62F5"/>
    <w:rsid w:val="008E0D99"/>
    <w:rsid w:val="008E44E4"/>
    <w:rsid w:val="008F2FAF"/>
    <w:rsid w:val="008F705A"/>
    <w:rsid w:val="00903D53"/>
    <w:rsid w:val="009151A4"/>
    <w:rsid w:val="009158E0"/>
    <w:rsid w:val="00922CE5"/>
    <w:rsid w:val="00934097"/>
    <w:rsid w:val="00947838"/>
    <w:rsid w:val="00957C4A"/>
    <w:rsid w:val="009609F7"/>
    <w:rsid w:val="009767B3"/>
    <w:rsid w:val="009853D7"/>
    <w:rsid w:val="0098779F"/>
    <w:rsid w:val="00987F8F"/>
    <w:rsid w:val="009A00D6"/>
    <w:rsid w:val="009B65B4"/>
    <w:rsid w:val="009B6FE0"/>
    <w:rsid w:val="009C2084"/>
    <w:rsid w:val="009C4DBA"/>
    <w:rsid w:val="009C7C25"/>
    <w:rsid w:val="009D1716"/>
    <w:rsid w:val="009F54D2"/>
    <w:rsid w:val="00A04D07"/>
    <w:rsid w:val="00A131B7"/>
    <w:rsid w:val="00A3726A"/>
    <w:rsid w:val="00A57CCE"/>
    <w:rsid w:val="00A66D3A"/>
    <w:rsid w:val="00A740F2"/>
    <w:rsid w:val="00AA2F1A"/>
    <w:rsid w:val="00AA5EF0"/>
    <w:rsid w:val="00AC129A"/>
    <w:rsid w:val="00AF26D6"/>
    <w:rsid w:val="00B04E3E"/>
    <w:rsid w:val="00B0562F"/>
    <w:rsid w:val="00B12FE0"/>
    <w:rsid w:val="00B2544C"/>
    <w:rsid w:val="00B25517"/>
    <w:rsid w:val="00B36476"/>
    <w:rsid w:val="00B47C26"/>
    <w:rsid w:val="00B51B39"/>
    <w:rsid w:val="00B702D7"/>
    <w:rsid w:val="00B7614A"/>
    <w:rsid w:val="00B94557"/>
    <w:rsid w:val="00B967D8"/>
    <w:rsid w:val="00BA50A4"/>
    <w:rsid w:val="00BD4E7F"/>
    <w:rsid w:val="00BF19CC"/>
    <w:rsid w:val="00BF60E4"/>
    <w:rsid w:val="00C1105E"/>
    <w:rsid w:val="00C2292F"/>
    <w:rsid w:val="00C260AC"/>
    <w:rsid w:val="00C26107"/>
    <w:rsid w:val="00C31E48"/>
    <w:rsid w:val="00C3536D"/>
    <w:rsid w:val="00C36071"/>
    <w:rsid w:val="00C50530"/>
    <w:rsid w:val="00C63D7D"/>
    <w:rsid w:val="00C807A1"/>
    <w:rsid w:val="00C95995"/>
    <w:rsid w:val="00CB65BF"/>
    <w:rsid w:val="00CC01AF"/>
    <w:rsid w:val="00CC2507"/>
    <w:rsid w:val="00CD432F"/>
    <w:rsid w:val="00CE32BF"/>
    <w:rsid w:val="00CE6DF4"/>
    <w:rsid w:val="00CE7756"/>
    <w:rsid w:val="00CF510F"/>
    <w:rsid w:val="00CF6AE6"/>
    <w:rsid w:val="00D021FE"/>
    <w:rsid w:val="00D055BE"/>
    <w:rsid w:val="00D05808"/>
    <w:rsid w:val="00D07890"/>
    <w:rsid w:val="00D108BC"/>
    <w:rsid w:val="00D24D14"/>
    <w:rsid w:val="00D45DE5"/>
    <w:rsid w:val="00D50B05"/>
    <w:rsid w:val="00D56FDB"/>
    <w:rsid w:val="00D66CF7"/>
    <w:rsid w:val="00D71F1B"/>
    <w:rsid w:val="00D85F1F"/>
    <w:rsid w:val="00D9022F"/>
    <w:rsid w:val="00D96872"/>
    <w:rsid w:val="00D978C8"/>
    <w:rsid w:val="00DA2D3B"/>
    <w:rsid w:val="00DB3D07"/>
    <w:rsid w:val="00DC3D0E"/>
    <w:rsid w:val="00DC453D"/>
    <w:rsid w:val="00DD36BF"/>
    <w:rsid w:val="00DE6771"/>
    <w:rsid w:val="00DF0858"/>
    <w:rsid w:val="00DF3424"/>
    <w:rsid w:val="00DF73D3"/>
    <w:rsid w:val="00E0276B"/>
    <w:rsid w:val="00E161C0"/>
    <w:rsid w:val="00E35AD3"/>
    <w:rsid w:val="00E40E2E"/>
    <w:rsid w:val="00E53418"/>
    <w:rsid w:val="00E6252A"/>
    <w:rsid w:val="00E63AB2"/>
    <w:rsid w:val="00E648F3"/>
    <w:rsid w:val="00E67FBB"/>
    <w:rsid w:val="00E81D4A"/>
    <w:rsid w:val="00E87152"/>
    <w:rsid w:val="00EA01E9"/>
    <w:rsid w:val="00EA6FF3"/>
    <w:rsid w:val="00EB165D"/>
    <w:rsid w:val="00ED0757"/>
    <w:rsid w:val="00ED29F1"/>
    <w:rsid w:val="00ED70CE"/>
    <w:rsid w:val="00EE43E6"/>
    <w:rsid w:val="00EF02BD"/>
    <w:rsid w:val="00EF478D"/>
    <w:rsid w:val="00EF5D58"/>
    <w:rsid w:val="00F05C03"/>
    <w:rsid w:val="00F2076B"/>
    <w:rsid w:val="00F2274B"/>
    <w:rsid w:val="00F23D69"/>
    <w:rsid w:val="00F26074"/>
    <w:rsid w:val="00F37A2B"/>
    <w:rsid w:val="00F412B0"/>
    <w:rsid w:val="00F50620"/>
    <w:rsid w:val="00F52EA3"/>
    <w:rsid w:val="00F54FE6"/>
    <w:rsid w:val="00F56A68"/>
    <w:rsid w:val="00F648B2"/>
    <w:rsid w:val="00F70C8A"/>
    <w:rsid w:val="00F76653"/>
    <w:rsid w:val="00F80B9E"/>
    <w:rsid w:val="00F8382B"/>
    <w:rsid w:val="00F90172"/>
    <w:rsid w:val="00F902F4"/>
    <w:rsid w:val="00F90E0F"/>
    <w:rsid w:val="00FA0585"/>
    <w:rsid w:val="00FB438F"/>
    <w:rsid w:val="00FB761B"/>
    <w:rsid w:val="00FC5099"/>
    <w:rsid w:val="00FC5509"/>
    <w:rsid w:val="00FC7E57"/>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 w:type="paragraph" w:styleId="Textonotapie">
    <w:name w:val="footnote text"/>
    <w:basedOn w:val="Normal"/>
    <w:link w:val="TextonotapieCar"/>
    <w:uiPriority w:val="99"/>
    <w:semiHidden/>
    <w:unhideWhenUsed/>
    <w:rsid w:val="00F56A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68"/>
    <w:rPr>
      <w:sz w:val="20"/>
      <w:szCs w:val="20"/>
      <w:lang w:val="es-VE"/>
    </w:rPr>
  </w:style>
  <w:style w:type="character" w:styleId="Refdenotaalpie">
    <w:name w:val="footnote reference"/>
    <w:basedOn w:val="Fuentedeprrafopredeter"/>
    <w:uiPriority w:val="99"/>
    <w:semiHidden/>
    <w:unhideWhenUsed/>
    <w:rsid w:val="00F56A68"/>
    <w:rPr>
      <w:vertAlign w:val="superscript"/>
    </w:rPr>
  </w:style>
  <w:style w:type="paragraph" w:styleId="Epgrafe">
    <w:name w:val="caption"/>
    <w:basedOn w:val="Normal"/>
    <w:next w:val="Normal"/>
    <w:uiPriority w:val="35"/>
    <w:semiHidden/>
    <w:unhideWhenUsed/>
    <w:qFormat/>
    <w:rsid w:val="00F56A6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 w:type="paragraph" w:styleId="Textonotapie">
    <w:name w:val="footnote text"/>
    <w:basedOn w:val="Normal"/>
    <w:link w:val="TextonotapieCar"/>
    <w:uiPriority w:val="99"/>
    <w:semiHidden/>
    <w:unhideWhenUsed/>
    <w:rsid w:val="00F56A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68"/>
    <w:rPr>
      <w:sz w:val="20"/>
      <w:szCs w:val="20"/>
      <w:lang w:val="es-VE"/>
    </w:rPr>
  </w:style>
  <w:style w:type="character" w:styleId="Refdenotaalpie">
    <w:name w:val="footnote reference"/>
    <w:basedOn w:val="Fuentedeprrafopredeter"/>
    <w:uiPriority w:val="99"/>
    <w:semiHidden/>
    <w:unhideWhenUsed/>
    <w:rsid w:val="00F56A68"/>
    <w:rPr>
      <w:vertAlign w:val="superscript"/>
    </w:rPr>
  </w:style>
  <w:style w:type="paragraph" w:styleId="Epgrafe">
    <w:name w:val="caption"/>
    <w:basedOn w:val="Normal"/>
    <w:next w:val="Normal"/>
    <w:uiPriority w:val="35"/>
    <w:semiHidden/>
    <w:unhideWhenUsed/>
    <w:qFormat/>
    <w:rsid w:val="00F56A6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B0441F-C6DA-4357-9C10-7D1768B2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11</Pages>
  <Words>2563</Words>
  <Characters>14610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51</cp:revision>
  <cp:lastPrinted>2016-03-27T22:28:00Z</cp:lastPrinted>
  <dcterms:created xsi:type="dcterms:W3CDTF">2016-05-07T23:44:00Z</dcterms:created>
  <dcterms:modified xsi:type="dcterms:W3CDTF">2016-05-26T17:57:00Z</dcterms:modified>
</cp:coreProperties>
</file>