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376FF4">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376FF4">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ind w:firstLine="0"/>
      </w:pPr>
      <w:r>
        <w:t xml:space="preserve">En la actualidad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ind w:firstLine="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lastRenderedPageBreak/>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w:t>
      </w:r>
      <w:r w:rsidRPr="00376FF4">
        <w:lastRenderedPageBreak/>
        <w:t>grafos en memoria se podrían almacenar grafos muy grandes en muy poco espacio; los grafos representados de esta forma se denominan grafos compactos.</w:t>
      </w:r>
    </w:p>
    <w:p w:rsidR="003766D8" w:rsidRPr="00376FF4"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8C5D75" w:rsidRDefault="008C5D75" w:rsidP="00376FF4">
      <w:pPr>
        <w:pStyle w:val="Ttulo1"/>
        <w:spacing w:after="240"/>
        <w:rPr>
          <w:rFonts w:eastAsiaTheme="minorEastAsia"/>
        </w:rPr>
      </w:pPr>
      <w:bookmarkStart w:id="1" w:name="_Toc449803931"/>
      <w:r>
        <w:rPr>
          <w:rFonts w:eastAsiaTheme="minorEastAsia"/>
        </w:rPr>
        <w:t>Lista de adyacencia</w:t>
      </w:r>
      <w:bookmarkEnd w:id="1"/>
    </w:p>
    <w:p w:rsidR="008C5D75" w:rsidRDefault="008C5D75" w:rsidP="00376FF4">
      <w:pPr>
        <w:pStyle w:val="TEGCuerpo"/>
        <w:spacing w:after="240"/>
      </w:pPr>
      <w:r>
        <w:t xml:space="preserve">La representación en forma de lista de adyacencia de 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arreglo </w:t>
      </w:r>
      <m:oMath>
        <m:r>
          <w:rPr>
            <w:rFonts w:ascii="Cambria Math" w:hAnsi="Cambria Math"/>
          </w:rPr>
          <m:t>A</m:t>
        </m:r>
      </m:oMath>
      <w:r>
        <w:rPr>
          <w:i/>
        </w:rPr>
        <w:t xml:space="preserve"> </w:t>
      </w:r>
      <w:r>
        <w:t xml:space="preserve">de </w:t>
      </w:r>
      <m:oMath>
        <m:r>
          <w:rPr>
            <w:rFonts w:ascii="Cambria Math" w:hAnsi="Cambria Math"/>
          </w:rPr>
          <m:t>|V|</m:t>
        </m:r>
      </m:oMath>
      <w:r>
        <w:t xml:space="preserve"> listas, una por cada vértice en </w:t>
      </w:r>
      <m:oMath>
        <m:r>
          <w:rPr>
            <w:rFonts w:ascii="Cambria Math" w:hAnsi="Cambria Math"/>
          </w:rPr>
          <m:t>V</m:t>
        </m:r>
      </m:oMath>
      <w:r>
        <w:t xml:space="preserve">. Para cada </w:t>
      </w:r>
      <m:oMath>
        <m:r>
          <w:rPr>
            <w:rFonts w:ascii="Cambria Math" w:hAnsi="Cambria Math"/>
          </w:rPr>
          <m:t>u∈V</m:t>
        </m:r>
      </m:oMath>
      <w:r>
        <w:t xml:space="preserve">, la lista de adyacencia </w:t>
      </w:r>
      <m:oMath>
        <m:r>
          <w:rPr>
            <w:rFonts w:ascii="Cambria Math" w:hAnsi="Cambria Math"/>
          </w:rPr>
          <m:t>A[u]</m:t>
        </m:r>
      </m:oMath>
      <w:r>
        <w:t xml:space="preserve"> contiene todos los </w:t>
      </w:r>
      <w:r w:rsidRPr="00376FF4">
        <w:t>vértices</w:t>
      </w:r>
      <w:r>
        <w:t xml:space="preserve"> </w:t>
      </w:r>
      <m:oMath>
        <m:r>
          <w:rPr>
            <w:rFonts w:ascii="Cambria Math" w:hAnsi="Cambria Math"/>
          </w:rPr>
          <m:t>v</m:t>
        </m:r>
      </m:oMath>
      <w:r>
        <w:t xml:space="preserve"> tal que existe una arista </w:t>
      </w:r>
      <m:oMath>
        <m:r>
          <w:rPr>
            <w:rFonts w:ascii="Cambria Math" w:hAnsi="Cambria Math"/>
          </w:rPr>
          <m:t>(u,v)∈E</m:t>
        </m:r>
      </m:oMath>
      <w:r>
        <w:t xml:space="preserve"> (Cormen y col., 2010). Esta es la representación idónea para grafos dispersos (dónde </w:t>
      </w:r>
      <m:oMath>
        <m:d>
          <m:dPr>
            <m:begChr m:val="|"/>
            <m:endChr m:val="|"/>
            <m:ctrlPr>
              <w:rPr>
                <w:rFonts w:ascii="Cambria Math" w:hAnsi="Cambria Math"/>
                <w:i/>
              </w:rPr>
            </m:ctrlPr>
          </m:dPr>
          <m:e>
            <m:r>
              <w:rPr>
                <w:rFonts w:ascii="Cambria Math" w:hAnsi="Cambria Math"/>
              </w:rPr>
              <m:t>E</m:t>
            </m:r>
          </m:e>
        </m:d>
      </m:oMath>
      <w:r>
        <w:t xml:space="preserve"> es mucho menor que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8C5D75" w:rsidRDefault="008C5D75" w:rsidP="00376FF4">
      <w:pPr>
        <w:pStyle w:val="Ttulo1"/>
        <w:spacing w:after="240"/>
      </w:pPr>
      <w:r>
        <w:t>Matriz de adyacencia</w:t>
      </w:r>
    </w:p>
    <w:p w:rsidR="008C5D75" w:rsidRDefault="008C5D75" w:rsidP="00376FF4">
      <w:pPr>
        <w:pStyle w:val="TEGCuerpo"/>
        <w:spacing w:after="240"/>
        <w:rPr>
          <w:rFonts w:eastAsiaTheme="minorEastAsia" w:cs="Arial"/>
          <w:szCs w:val="24"/>
        </w:rPr>
      </w:pPr>
      <w:r>
        <w:rPr>
          <w:rFonts w:cs="Arial"/>
          <w:szCs w:val="24"/>
        </w:rPr>
        <w:t xml:space="preserve">Para la representación en forma de matriz de adyacencia de un grafo </w:t>
      </w:r>
      <m:oMath>
        <m:r>
          <w:rPr>
            <w:rFonts w:ascii="Cambria Math" w:hAnsi="Cambria Math" w:cs="Arial"/>
            <w:szCs w:val="24"/>
          </w:rPr>
          <m:t>G=(V,E)</m:t>
        </m:r>
      </m:oMath>
      <w:r>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Pr>
          <w:rFonts w:eastAsiaTheme="minorEastAsia" w:cs="Arial"/>
          <w:szCs w:val="24"/>
        </w:rPr>
        <w:t xml:space="preserve">; de esta forma, la matriz de adyacencia consiste en una matriz </w:t>
      </w:r>
      <m:oMath>
        <m:r>
          <w:rPr>
            <w:rFonts w:ascii="Cambria Math" w:eastAsiaTheme="minorEastAsia" w:hAnsi="Cambria Math" w:cs="Arial"/>
            <w:szCs w:val="24"/>
          </w:rPr>
          <w:lastRenderedPageBreak/>
          <m:t>A</m:t>
        </m:r>
      </m:oMath>
      <w:r>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Pr>
          <w:rFonts w:eastAsiaTheme="minorEastAsia" w:cs="Arial"/>
          <w:szCs w:val="24"/>
        </w:rPr>
        <w:t xml:space="preserve"> perteneciente a </w:t>
      </w:r>
      <m:oMath>
        <m:r>
          <w:rPr>
            <w:rFonts w:ascii="Cambria Math" w:eastAsiaTheme="minorEastAsia" w:hAnsi="Cambria Math" w:cs="Arial"/>
            <w:szCs w:val="24"/>
          </w:rPr>
          <m:t>A</m:t>
        </m:r>
      </m:oMath>
      <w:r>
        <w:rPr>
          <w:rFonts w:eastAsiaTheme="minorEastAsia" w:cs="Arial"/>
          <w:szCs w:val="24"/>
        </w:rPr>
        <w:t xml:space="preserve"> se cumple que:</w:t>
      </w:r>
      <w:r>
        <w:rPr>
          <w:rFonts w:cs="Arial"/>
          <w:szCs w:val="24"/>
        </w:rPr>
        <w:t xml:space="preserve"> </w:t>
      </w:r>
    </w:p>
    <w:p w:rsidR="008C5D75" w:rsidRDefault="008C7545" w:rsidP="00376FF4">
      <w:pPr>
        <w:pStyle w:val="TEGCuerpo"/>
        <w:spacing w:after="240"/>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sty m:val="p"/>
                      </m:rPr>
                      <w:rPr>
                        <w:rFonts w:ascii="Cambria Math" w:hAnsi="Cambria Math"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sty m:val="p"/>
                      </m:rPr>
                      <w:rPr>
                        <w:rFonts w:ascii="Cambria Math" w:hAnsi="Cambria Math" w:cs="Arial"/>
                        <w:szCs w:val="24"/>
                      </w:rPr>
                      <m:t>si no</m:t>
                    </m:r>
                  </m:e>
                </m:mr>
              </m:m>
            </m:e>
          </m:d>
        </m:oMath>
      </m:oMathPara>
    </w:p>
    <w:p w:rsidR="008C5D75" w:rsidRDefault="008C5D75" w:rsidP="00376FF4">
      <w:pPr>
        <w:pStyle w:val="Ttulo1"/>
        <w:spacing w:after="240"/>
        <w:rPr>
          <w:rFonts w:cs="Times New Roman"/>
          <w:szCs w:val="26"/>
        </w:rPr>
      </w:pPr>
      <w:bookmarkStart w:id="2" w:name="_Toc449803932"/>
      <w:r>
        <w:t>Grado de un vértice</w:t>
      </w:r>
      <w:bookmarkEnd w:id="2"/>
    </w:p>
    <w:p w:rsidR="008C5D75" w:rsidRPr="00376FF4" w:rsidRDefault="008C5D75" w:rsidP="00376FF4">
      <w:pPr>
        <w:pStyle w:val="TEGCuerpo"/>
        <w:spacing w:after="240"/>
      </w:pPr>
      <w:r>
        <w:t xml:space="preserve">El grado de un vértice en un grafo no </w:t>
      </w:r>
      <w:r w:rsidRPr="00376FF4">
        <w:t>dirigido es el número de aristas incidentes con este,</w:t>
      </w:r>
      <w:r w:rsidR="005A4B73">
        <w:t xml:space="preserve"> con la excepción de los bucles</w:t>
      </w:r>
      <w:bookmarkStart w:id="3" w:name="_GoBack"/>
      <w:bookmarkEnd w:id="3"/>
      <w:r w:rsidRPr="00376FF4">
        <w:t xml:space="preserve"> que se cuentan dos veces. (Rosen, 2012).</w:t>
      </w:r>
    </w:p>
    <w:p w:rsidR="008C5D75" w:rsidRDefault="008C5D75" w:rsidP="00376FF4">
      <w:pPr>
        <w:pStyle w:val="TEGCuerpo"/>
        <w:spacing w:after="240"/>
        <w:rPr>
          <w:rFonts w:eastAsiaTheme="minorEastAsia"/>
        </w:rPr>
      </w:pPr>
      <w:r w:rsidRPr="00376FF4">
        <w:t xml:space="preserve">En un grafo dirigido se tienen aristas dirigidas, por lo que cada vértice </w:t>
      </w:r>
      <m:oMath>
        <m:r>
          <w:rPr>
            <w:rFonts w:ascii="Cambria Math" w:hAnsi="Cambria Math"/>
          </w:rPr>
          <m:t>v</m:t>
        </m:r>
      </m:oMath>
      <w:r w:rsidRPr="00376FF4">
        <w:t xml:space="preserve"> cuenta con dos grados: el in-grado, que es el número</w:t>
      </w:r>
      <w:r>
        <w:t xml:space="preserve"> de aristas dirigidas hacía </w:t>
      </w:r>
      <m:oMath>
        <m:r>
          <w:rPr>
            <w:rFonts w:ascii="Cambria Math" w:hAnsi="Cambria Math"/>
          </w:rPr>
          <m:t>v</m:t>
        </m:r>
      </m:oMath>
      <w:r>
        <w:rPr>
          <w:rFonts w:eastAsiaTheme="minorEastAsia"/>
        </w:rPr>
        <w:t xml:space="preserve">, y el ex-grado, que es el número de aristas </w:t>
      </w:r>
      <w:r w:rsidR="00376FF4">
        <w:rPr>
          <w:rFonts w:eastAsiaTheme="minorEastAsia"/>
        </w:rPr>
        <w:t>dirigidas</w:t>
      </w:r>
      <w:r>
        <w:rPr>
          <w:rFonts w:eastAsiaTheme="minorEastAsia"/>
        </w:rPr>
        <w:t xml:space="preserve"> desde </w:t>
      </w:r>
      <m:oMath>
        <m:r>
          <w:rPr>
            <w:rFonts w:ascii="Cambria Math" w:eastAsiaTheme="minorEastAsia" w:hAnsi="Cambria Math"/>
          </w:rPr>
          <m:t>v</m:t>
        </m:r>
      </m:oMath>
      <w:r>
        <w:rPr>
          <w:rFonts w:eastAsiaTheme="minorEastAsia"/>
        </w:rPr>
        <w:t xml:space="preserve"> (Rosen, 2012). </w:t>
      </w:r>
    </w:p>
    <w:p w:rsidR="008C5D75" w:rsidRDefault="008C5D75" w:rsidP="00376FF4">
      <w:pPr>
        <w:pStyle w:val="Ttulo1"/>
        <w:spacing w:after="240"/>
        <w:rPr>
          <w:rFonts w:eastAsiaTheme="minorHAnsi"/>
        </w:rPr>
      </w:pPr>
      <w:r>
        <w:rPr>
          <w:rFonts w:eastAsiaTheme="minorEastAsia"/>
        </w:rPr>
        <w:t>Distribución de grados</w:t>
      </w:r>
    </w:p>
    <w:p w:rsidR="008C5D75" w:rsidRPr="00376FF4" w:rsidRDefault="008C5D75" w:rsidP="00376FF4">
      <w:pPr>
        <w:pStyle w:val="TEGCuerpo"/>
        <w:spacing w:after="240"/>
      </w:pPr>
      <w:r>
        <w:t xml:space="preserve">Si se hiciera un recuento en un grafo del </w:t>
      </w:r>
      <w:r w:rsidRPr="00376FF4">
        <w:t>número de nodos por cada grado se tendría una distribución de grados del grafo</w:t>
      </w:r>
      <w:r w:rsidR="005A4B73">
        <w:t>,</w:t>
      </w:r>
      <w:r w:rsidRPr="00376FF4">
        <w:t xml:space="preserve"> que sería entendido igualmente como la distribución de probabilidad de un grado en dicho grafo (Barabási, 2012).</w:t>
      </w:r>
    </w:p>
    <w:p w:rsidR="008C5D75" w:rsidRPr="00376FF4" w:rsidRDefault="008C5D75" w:rsidP="00376FF4">
      <w:pPr>
        <w:pStyle w:val="TEGCuerpo"/>
        <w:spacing w:after="240"/>
      </w:pPr>
      <w:r w:rsidRPr="00376FF4">
        <w:t xml:space="preserve">La distribución de nodos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oMath>
      <w:r w:rsidRPr="00376FF4">
        <w:t xml:space="preserve"> de un grafo está definida como la fracción de nodos en el grafo con grado </w:t>
      </w:r>
      <m:oMath>
        <m:r>
          <w:rPr>
            <w:rFonts w:ascii="Cambria Math" w:hAnsi="Cambria Math"/>
          </w:rPr>
          <m:t>k</m:t>
        </m:r>
      </m:oMath>
      <w:r w:rsidRPr="00376FF4">
        <w:t xml:space="preserve">. Si existen </w:t>
      </w:r>
      <m:oMath>
        <m:r>
          <w:rPr>
            <w:rFonts w:ascii="Cambria Math" w:hAnsi="Cambria Math"/>
          </w:rPr>
          <m:t>n</m:t>
        </m:r>
      </m:oMath>
      <w:r w:rsidRPr="00376FF4">
        <w:t xml:space="preserve"> nodos en un grafo y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376FF4">
        <w:t xml:space="preserve"> de ellos tienen grado </w:t>
      </w:r>
      <m:oMath>
        <m:r>
          <w:rPr>
            <w:rFonts w:ascii="Cambria Math" w:hAnsi="Cambria Math"/>
          </w:rPr>
          <m:t>k</m:t>
        </m:r>
      </m:oMath>
      <w:r w:rsidRPr="00376FF4">
        <w:t xml:space="preserve">, entonces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oMath>
      <w:r w:rsidRPr="00376FF4">
        <w:t xml:space="preserve"> .</w:t>
      </w:r>
    </w:p>
    <w:p w:rsidR="008C5D75" w:rsidRPr="00376FF4" w:rsidRDefault="008C5D75" w:rsidP="00376FF4">
      <w:pPr>
        <w:pStyle w:val="TEGCuerpo"/>
        <w:spacing w:after="240"/>
      </w:pPr>
      <w:r w:rsidRPr="00376FF4">
        <w:t>Los grafos se han podido clasificar en función de la distribución de grados en diversas topologías, siendo las más conocidas:</w:t>
      </w:r>
    </w:p>
    <w:p w:rsidR="008C5D75" w:rsidRPr="00376FF4" w:rsidRDefault="008C5D75" w:rsidP="00376FF4">
      <w:pPr>
        <w:pStyle w:val="TEGCuerpo"/>
        <w:numPr>
          <w:ilvl w:val="0"/>
          <w:numId w:val="42"/>
        </w:numPr>
        <w:spacing w:after="240"/>
      </w:pPr>
      <w:r w:rsidRPr="00376FF4">
        <w:t>Topología exponencial: se da en redes evolucionistas y ocurre siempre que cada nuevo nodo que se añade posea la misma probabilidad de ser enlazado con el resto.</w:t>
      </w:r>
    </w:p>
    <w:p w:rsidR="008C5D75" w:rsidRPr="00FB438F" w:rsidRDefault="008C5D75" w:rsidP="00376FF4">
      <w:pPr>
        <w:pStyle w:val="TEGCuerpo"/>
        <w:numPr>
          <w:ilvl w:val="0"/>
          <w:numId w:val="42"/>
        </w:numPr>
        <w:spacing w:after="240"/>
      </w:pPr>
      <w:r w:rsidRPr="00376FF4">
        <w:t xml:space="preserve">Topología libre de escala: la distribución de grados de estas redes sigue una ley de potencias de la forma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k</m:t>
            </m:r>
          </m:e>
          <m:sup>
            <m:r>
              <m:rPr>
                <m:sty m:val="p"/>
              </m:rPr>
              <w:rPr>
                <w:rFonts w:ascii="Cambria Math" w:hAnsi="Cambria Math"/>
              </w:rPr>
              <m:t>-</m:t>
            </m:r>
            <m:r>
              <w:rPr>
                <w:rFonts w:ascii="Cambria Math" w:hAnsi="Cambria Math"/>
              </w:rPr>
              <m:t>r</m:t>
            </m:r>
          </m:sup>
        </m:sSup>
      </m:oMath>
      <w:r w:rsidRPr="00376FF4">
        <w:t xml:space="preserve">. En estas redes se cumple </w:t>
      </w:r>
      <w:r w:rsidRPr="00376FF4">
        <w:lastRenderedPageBreak/>
        <w:t>el hecho de que existan pocos nodos con alta conectividad, pero el grado de conexión de casi todos los nodos es bastante</w:t>
      </w:r>
      <w:r>
        <w:rPr>
          <w:rFonts w:eastAsiaTheme="minorEastAsia"/>
        </w:rPr>
        <w:t xml:space="preserve"> bajo.</w:t>
      </w:r>
    </w:p>
    <w:p w:rsidR="00FB438F" w:rsidRDefault="00FB438F" w:rsidP="00FB438F">
      <w:pPr>
        <w:pStyle w:val="Ttulo1"/>
        <w:spacing w:after="240"/>
      </w:pPr>
      <w:bookmarkStart w:id="4" w:name="_Toc449803926"/>
      <w:r>
        <w:t>Compilador</w:t>
      </w:r>
      <w:bookmarkEnd w:id="4"/>
    </w:p>
    <w:p w:rsidR="00FB438F" w:rsidRPr="006C1056" w:rsidRDefault="00FB438F" w:rsidP="006C1056">
      <w:pPr>
        <w:pStyle w:val="TEGCuerpo"/>
        <w:spacing w:after="240"/>
      </w:pPr>
      <w:r>
        <w:t xml:space="preserve">Según Aho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p>
    <w:p w:rsidR="00260AF2" w:rsidRDefault="00260AF2" w:rsidP="006C1056">
      <w:pPr>
        <w:pStyle w:val="Ttulo1"/>
        <w:spacing w:after="240"/>
      </w:pPr>
      <w:bookmarkStart w:id="5" w:name="_Toc449803927"/>
      <w:r>
        <w:t>Estructura básica de un compilador</w:t>
      </w:r>
      <w:bookmarkEnd w:id="5"/>
    </w:p>
    <w:p w:rsidR="00260AF2" w:rsidRDefault="00260AF2" w:rsidP="006C1056">
      <w:pPr>
        <w:pStyle w:val="TEGCuerpo"/>
        <w:spacing w:after="240"/>
      </w:pPr>
      <w:r>
        <w:t xml:space="preserve">El programa fuente que será traducido por el compilador pasa por varias fases y cada una de estas </w:t>
      </w:r>
      <w:r w:rsidRPr="006C1056">
        <w:t>transforma</w:t>
      </w:r>
      <w:r>
        <w:t xml:space="preserve"> una representación del programa fuente a otra (Aho y col. 2006).</w:t>
      </w:r>
    </w:p>
    <w:p w:rsidR="00260AF2" w:rsidRPr="00260AF2" w:rsidRDefault="00260AF2" w:rsidP="00260AF2">
      <w:pPr>
        <w:pStyle w:val="TEGCuerpo"/>
        <w:numPr>
          <w:ilvl w:val="0"/>
          <w:numId w:val="35"/>
        </w:numPr>
        <w:spacing w:afterLines="0" w:after="240"/>
        <w:rPr>
          <w:rFonts w:eastAsiaTheme="minorEastAsia" w:cs="Arial"/>
        </w:rPr>
      </w:pPr>
      <w:r>
        <w:t xml:space="preserve">Análisis léxico: es la primera fase del proceso de compilación, y en ella se lee el flujo de caracteres del programa fuente y se agrupan en secuencias significativas conocidas como lexemas (Aho y col., 2006). Por cada lexema, el analizador léxico genera un </w:t>
      </w:r>
      <w:r w:rsidRPr="00260AF2">
        <w:rPr>
          <w:i/>
        </w:rPr>
        <w:t>token</w:t>
      </w:r>
      <w:r>
        <w:t xml:space="preserve"> de la forma:</w:t>
      </w:r>
    </w:p>
    <w:p w:rsidR="00260AF2" w:rsidRDefault="00260AF2" w:rsidP="00260AF2">
      <w:pPr>
        <w:pStyle w:val="TEGCuerpo"/>
        <w:spacing w:afterLines="0" w:after="240"/>
        <w:ind w:left="720" w:firstLine="0"/>
        <w:rPr>
          <w:rFonts w:eastAsiaTheme="minorEastAsia"/>
        </w:rPr>
      </w:pPr>
      <m:oMathPara>
        <m:oMath>
          <m:r>
            <w:rPr>
              <w:rFonts w:ascii="Cambria Math" w:eastAsiaTheme="minorEastAsia" w:hAnsi="Cambria Math" w:cs="Arial"/>
            </w:rPr>
            <m:t>&lt;nombre,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 xml:space="preserve">un símbolo abstracto que se utiliza durante el análisis sintáctico y “valor” apunta a una entrada en la tabla de símbolos para este </w:t>
      </w:r>
      <w:r w:rsidRPr="00260AF2">
        <w:rPr>
          <w:rFonts w:eastAsiaTheme="minorEastAsia"/>
          <w:i/>
        </w:rPr>
        <w:t>token</w:t>
      </w:r>
      <w:r w:rsidRPr="00260AF2">
        <w:rPr>
          <w:rFonts w:eastAsiaTheme="minorEastAsia"/>
        </w:rPr>
        <w:t>.</w:t>
      </w:r>
    </w:p>
    <w:p w:rsidR="00260AF2" w:rsidRDefault="00260AF2" w:rsidP="00260AF2">
      <w:pPr>
        <w:pStyle w:val="TEGCuerpo"/>
        <w:numPr>
          <w:ilvl w:val="0"/>
          <w:numId w:val="35"/>
        </w:numPr>
        <w:spacing w:afterLines="0" w:after="240"/>
      </w:pPr>
      <w:r>
        <w:t xml:space="preserve">Análisis sintáctico: es la segunda fase del compilador. El analizador sintáctico lee el flujo de </w:t>
      </w:r>
      <w:r w:rsidRPr="00260AF2">
        <w:rPr>
          <w:i/>
        </w:rPr>
        <w:t>tokens</w:t>
      </w:r>
      <w:r>
        <w:t xml:space="preserve"> resultante de la primera fase e intenta crear una representación intermedia en forma de árbol para describir la estructura gramatical del programa fuente; este árbol, conocido como árbol sintáctico, será utilizado por las siguientes fases del proceso de compilación (Aho y col., 2006).</w:t>
      </w:r>
    </w:p>
    <w:p w:rsidR="00260AF2" w:rsidRDefault="00260AF2" w:rsidP="00260AF2">
      <w:pPr>
        <w:pStyle w:val="TEGCuerpo"/>
        <w:numPr>
          <w:ilvl w:val="0"/>
          <w:numId w:val="35"/>
        </w:numPr>
        <w:spacing w:afterLines="0" w:after="240"/>
      </w:pPr>
      <w:r>
        <w:lastRenderedPageBreak/>
        <w:t>Análisis semántico: utiliza el árbol generado por el analizador sintáctico y la tabla de símbolos para comprobar que el programa fuente es consistente con lo establecido en la definición del lenguaje (Aho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(Aho y col., 2006). Los árboles sintácticos usados durante el análisis semántico son un ejemplo de estas representaciones.</w:t>
      </w:r>
    </w:p>
    <w:p w:rsidR="00260AF2" w:rsidRDefault="00260AF2" w:rsidP="00260AF2">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(Aho y col., 2006).</w:t>
      </w:r>
    </w:p>
    <w:p w:rsidR="00260AF2" w:rsidRDefault="00260AF2" w:rsidP="00260AF2">
      <w:pPr>
        <w:pStyle w:val="TEGCuerpo"/>
        <w:numPr>
          <w:ilvl w:val="0"/>
          <w:numId w:val="35"/>
        </w:numPr>
        <w:spacing w:afterLines="0" w:after="240"/>
      </w:pPr>
      <w:r>
        <w:t>Optimización de código: 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260AF2" w:rsidRPr="00260AF2" w:rsidRDefault="00260AF2" w:rsidP="00260AF2">
      <w:pPr>
        <w:pStyle w:val="TEGCuerpo"/>
        <w:numPr>
          <w:ilvl w:val="0"/>
          <w:numId w:val="35"/>
        </w:numPr>
        <w:spacing w:afterLines="0" w:after="240"/>
      </w:pPr>
      <w:r>
        <w:t>Generación de código: e</w:t>
      </w:r>
      <w:r w:rsidRPr="00260AF2">
        <w:t xml:space="preserve">l generador de código recibe la representación intermedia del programa fuente como entrada y produce un programa equivalente en el lenguaje destino (Aho y col., 2006). Si el lenguaje destino </w:t>
      </w:r>
      <w:r w:rsidRPr="00260AF2">
        <w:lastRenderedPageBreak/>
        <w:t>es código máquina, durante esta fase se seleccionan los registros que utilizará cada variable del programa durante su ejecución.</w:t>
      </w:r>
    </w:p>
    <w:p w:rsidR="00135ADF" w:rsidRDefault="00812902" w:rsidP="00260AF2">
      <w:pPr>
        <w:pStyle w:val="Ttulo1"/>
        <w:spacing w:after="240"/>
      </w:pPr>
      <w:r>
        <w:t>Propuesta</w:t>
      </w:r>
    </w:p>
    <w:p w:rsidR="009C7C25" w:rsidRDefault="00135ADF" w:rsidP="00135ADF">
      <w:pPr>
        <w:pStyle w:val="TEGCuerpo"/>
        <w:spacing w:after="240"/>
      </w:pPr>
      <w:r>
        <w:t>Se propone la creación de un lenguaje de programación</w:t>
      </w:r>
      <w:r w:rsidR="00610386">
        <w:t xml:space="preserve"> con soporte nativo para grafos tanto en su sistema de tipos como su librería estándar. </w:t>
      </w:r>
      <w:r w:rsidR="009C7C25">
        <w:t>Se debe definir la estructura gramatical del lenguaje, al igual que su semántica.</w:t>
      </w:r>
    </w:p>
    <w:p w:rsidR="00135ADF" w:rsidRDefault="009C7C25" w:rsidP="00135ADF">
      <w:pPr>
        <w:pStyle w:val="TEGCuerpo"/>
        <w:spacing w:after="240"/>
      </w:pPr>
      <w:r>
        <w:t xml:space="preserve">El lenguaje sería lo más pequeño posible, de forma de </w:t>
      </w:r>
      <w:r w:rsidR="00DF73D3">
        <w:t xml:space="preserve">hacer más sencillo al compilador y </w:t>
      </w:r>
      <w:r>
        <w:t>que la curva de a</w:t>
      </w:r>
      <w:r w:rsidR="00E81D4A">
        <w:t xml:space="preserve">prendizaje sea poco inclinada, para este fin, </w:t>
      </w:r>
      <w:r w:rsidR="00DF73D3">
        <w:t>la manipulación de grafos sería parte de la librería estándar en forma de funciones</w:t>
      </w:r>
      <w:r w:rsidR="00260AF2">
        <w:t xml:space="preserve"> y no parte del lenguaje.</w:t>
      </w:r>
    </w:p>
    <w:p w:rsidR="00260AF2" w:rsidRDefault="00260AF2" w:rsidP="00135ADF">
      <w:pPr>
        <w:pStyle w:val="TEGCuerpo"/>
        <w:spacing w:after="240"/>
      </w:pPr>
      <w:r>
        <w:t>Toda forma de verificación de tipos se realizaría de forma estática por el compilador, reduciendo así el tamaño del entorno de ejecución y haciendo más rápidos a los programas escritos en este lenguaje.</w:t>
      </w:r>
    </w:p>
    <w:p w:rsidR="00610386" w:rsidRDefault="00610386" w:rsidP="00610386">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Aho, A., Lam, M., Sethi, R. y Ullman, J. (2006): </w:t>
      </w:r>
      <w:r>
        <w:rPr>
          <w:rFonts w:ascii="Arial" w:eastAsia="Times New Roman" w:hAnsi="Arial" w:cs="Arial"/>
          <w:b/>
          <w:sz w:val="24"/>
          <w:szCs w:val="24"/>
        </w:rPr>
        <w:t xml:space="preserve">Compilers: Principles, Techniques, and Tools. </w:t>
      </w:r>
      <w:r>
        <w:rPr>
          <w:rFonts w:ascii="Arial" w:eastAsia="Times New Roman" w:hAnsi="Arial" w:cs="Arial"/>
          <w:sz w:val="24"/>
          <w:szCs w:val="24"/>
        </w:rPr>
        <w:t>Segunda Edición. Addison Weaslie.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r>
        <w:rPr>
          <w:rFonts w:ascii="Arial" w:eastAsia="Times New Roman" w:hAnsi="Arial" w:cs="Arial"/>
          <w:b/>
          <w:sz w:val="24"/>
          <w:szCs w:val="24"/>
        </w:rPr>
        <w:t xml:space="preserve">Linked: The New Science of Networks. </w:t>
      </w:r>
      <w:r>
        <w:rPr>
          <w:rFonts w:ascii="Arial" w:eastAsia="Times New Roman" w:hAnsi="Arial" w:cs="Arial"/>
          <w:sz w:val="24"/>
          <w:szCs w:val="24"/>
        </w:rPr>
        <w:t>Primera edición. Cambridge, Estados Unidos. Perseus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Pr>
          <w:rFonts w:ascii="Arial" w:eastAsia="Times New Roman" w:hAnsi="Arial" w:cs="Arial"/>
          <w:b/>
          <w:sz w:val="24"/>
          <w:szCs w:val="24"/>
        </w:rPr>
        <w:t>Introduction to Algorithms.</w:t>
      </w:r>
      <w:r>
        <w:rPr>
          <w:rFonts w:ascii="Arial" w:eastAsia="Times New Roman" w:hAnsi="Arial" w:cs="Arial"/>
          <w:sz w:val="24"/>
          <w:szCs w:val="24"/>
        </w:rPr>
        <w:t xml:space="preserve"> Tercera edición. The MIT Press. 1251pp</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r>
        <w:rPr>
          <w:rFonts w:ascii="Arial" w:eastAsia="Times New Roman" w:hAnsi="Arial" w:cs="Arial"/>
          <w:b/>
          <w:sz w:val="24"/>
          <w:szCs w:val="24"/>
        </w:rPr>
        <w:t xml:space="preserve">Complexity: A Guided Tour. </w:t>
      </w:r>
      <w:r>
        <w:rPr>
          <w:rFonts w:ascii="Arial" w:eastAsia="Times New Roman" w:hAnsi="Arial" w:cs="Arial"/>
          <w:sz w:val="24"/>
          <w:szCs w:val="24"/>
        </w:rPr>
        <w:t>Primera edición. Nueva York, Estados Unidos. Oxford University Press. 227-288.</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Pr>
          <w:rFonts w:ascii="Arial" w:eastAsia="Times New Roman" w:hAnsi="Arial" w:cs="Arial"/>
          <w:b/>
          <w:sz w:val="24"/>
          <w:szCs w:val="24"/>
        </w:rPr>
        <w:t xml:space="preserve">Discrete Mathematics and Its Applications.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9"/>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545" w:rsidRDefault="008C7545" w:rsidP="004C0648">
      <w:pPr>
        <w:spacing w:after="0" w:line="240" w:lineRule="auto"/>
      </w:pPr>
      <w:r>
        <w:separator/>
      </w:r>
    </w:p>
  </w:endnote>
  <w:endnote w:type="continuationSeparator" w:id="0">
    <w:p w:rsidR="008C7545" w:rsidRDefault="008C7545"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545" w:rsidRDefault="008C7545" w:rsidP="004C0648">
      <w:pPr>
        <w:spacing w:after="0" w:line="240" w:lineRule="auto"/>
      </w:pPr>
      <w:r>
        <w:separator/>
      </w:r>
    </w:p>
  </w:footnote>
  <w:footnote w:type="continuationSeparator" w:id="0">
    <w:p w:rsidR="008C7545" w:rsidRDefault="008C7545"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6">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8">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3"/>
  </w:num>
  <w:num w:numId="18">
    <w:abstractNumId w:val="24"/>
  </w:num>
  <w:num w:numId="19">
    <w:abstractNumId w:val="38"/>
  </w:num>
  <w:num w:numId="20">
    <w:abstractNumId w:val="39"/>
  </w:num>
  <w:num w:numId="21">
    <w:abstractNumId w:val="9"/>
  </w:num>
  <w:num w:numId="22">
    <w:abstractNumId w:val="26"/>
  </w:num>
  <w:num w:numId="23">
    <w:abstractNumId w:val="34"/>
  </w:num>
  <w:num w:numId="24">
    <w:abstractNumId w:val="35"/>
  </w:num>
  <w:num w:numId="25">
    <w:abstractNumId w:val="37"/>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6"/>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12D60"/>
    <w:rsid w:val="0005103D"/>
    <w:rsid w:val="00071C64"/>
    <w:rsid w:val="0007466C"/>
    <w:rsid w:val="00095589"/>
    <w:rsid w:val="000E51C2"/>
    <w:rsid w:val="000E713C"/>
    <w:rsid w:val="000F1AFF"/>
    <w:rsid w:val="000F2B4C"/>
    <w:rsid w:val="001263C0"/>
    <w:rsid w:val="00135ADF"/>
    <w:rsid w:val="001362EC"/>
    <w:rsid w:val="0014446A"/>
    <w:rsid w:val="001466CE"/>
    <w:rsid w:val="00171564"/>
    <w:rsid w:val="00192CA6"/>
    <w:rsid w:val="001A3D3B"/>
    <w:rsid w:val="001A539F"/>
    <w:rsid w:val="001D429D"/>
    <w:rsid w:val="001F5958"/>
    <w:rsid w:val="00202C86"/>
    <w:rsid w:val="002242C3"/>
    <w:rsid w:val="00231876"/>
    <w:rsid w:val="00241DB4"/>
    <w:rsid w:val="00247084"/>
    <w:rsid w:val="00252E89"/>
    <w:rsid w:val="00260AF2"/>
    <w:rsid w:val="002672AA"/>
    <w:rsid w:val="0027344E"/>
    <w:rsid w:val="00275758"/>
    <w:rsid w:val="0027751E"/>
    <w:rsid w:val="0028171A"/>
    <w:rsid w:val="0028184F"/>
    <w:rsid w:val="0029144E"/>
    <w:rsid w:val="00292985"/>
    <w:rsid w:val="00295709"/>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667"/>
    <w:rsid w:val="00450137"/>
    <w:rsid w:val="004535C0"/>
    <w:rsid w:val="00454F77"/>
    <w:rsid w:val="0047471E"/>
    <w:rsid w:val="00476BBF"/>
    <w:rsid w:val="0049038E"/>
    <w:rsid w:val="004953F9"/>
    <w:rsid w:val="004C0648"/>
    <w:rsid w:val="004C081F"/>
    <w:rsid w:val="004D46D4"/>
    <w:rsid w:val="004F321A"/>
    <w:rsid w:val="0050190C"/>
    <w:rsid w:val="005174A6"/>
    <w:rsid w:val="00545726"/>
    <w:rsid w:val="00563A0C"/>
    <w:rsid w:val="0057591C"/>
    <w:rsid w:val="00576994"/>
    <w:rsid w:val="00584C5E"/>
    <w:rsid w:val="00590950"/>
    <w:rsid w:val="00590978"/>
    <w:rsid w:val="00590AB9"/>
    <w:rsid w:val="005915E3"/>
    <w:rsid w:val="005975AB"/>
    <w:rsid w:val="005A4B73"/>
    <w:rsid w:val="005A6C30"/>
    <w:rsid w:val="005C46A7"/>
    <w:rsid w:val="005C51A3"/>
    <w:rsid w:val="005C7D97"/>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5E02"/>
    <w:rsid w:val="00790A01"/>
    <w:rsid w:val="00793C61"/>
    <w:rsid w:val="007A419E"/>
    <w:rsid w:val="007B00B4"/>
    <w:rsid w:val="007B2D87"/>
    <w:rsid w:val="007E4078"/>
    <w:rsid w:val="007F71F0"/>
    <w:rsid w:val="00812902"/>
    <w:rsid w:val="0082554F"/>
    <w:rsid w:val="008274CA"/>
    <w:rsid w:val="0083411E"/>
    <w:rsid w:val="008377C1"/>
    <w:rsid w:val="0084391C"/>
    <w:rsid w:val="00867CF5"/>
    <w:rsid w:val="00885100"/>
    <w:rsid w:val="00886338"/>
    <w:rsid w:val="00886B99"/>
    <w:rsid w:val="00895CFE"/>
    <w:rsid w:val="008A531A"/>
    <w:rsid w:val="008B53FA"/>
    <w:rsid w:val="008C5D75"/>
    <w:rsid w:val="008C7545"/>
    <w:rsid w:val="008D3DB3"/>
    <w:rsid w:val="008E0D99"/>
    <w:rsid w:val="008E44E4"/>
    <w:rsid w:val="00903D53"/>
    <w:rsid w:val="009151A4"/>
    <w:rsid w:val="009158E0"/>
    <w:rsid w:val="00922CE5"/>
    <w:rsid w:val="00947838"/>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57CCE"/>
    <w:rsid w:val="00A66D3A"/>
    <w:rsid w:val="00AA2F1A"/>
    <w:rsid w:val="00AA5EF0"/>
    <w:rsid w:val="00AF26D6"/>
    <w:rsid w:val="00B04E3E"/>
    <w:rsid w:val="00B0562F"/>
    <w:rsid w:val="00B12FE0"/>
    <w:rsid w:val="00B2544C"/>
    <w:rsid w:val="00B25517"/>
    <w:rsid w:val="00B36476"/>
    <w:rsid w:val="00B47C26"/>
    <w:rsid w:val="00B702D7"/>
    <w:rsid w:val="00B7614A"/>
    <w:rsid w:val="00B967D8"/>
    <w:rsid w:val="00BA50A4"/>
    <w:rsid w:val="00BD4E7F"/>
    <w:rsid w:val="00BF19CC"/>
    <w:rsid w:val="00BF60E4"/>
    <w:rsid w:val="00C1105E"/>
    <w:rsid w:val="00C2292F"/>
    <w:rsid w:val="00C260AC"/>
    <w:rsid w:val="00C26107"/>
    <w:rsid w:val="00C31E48"/>
    <w:rsid w:val="00C3536D"/>
    <w:rsid w:val="00C50530"/>
    <w:rsid w:val="00C63D7D"/>
    <w:rsid w:val="00C807A1"/>
    <w:rsid w:val="00C95995"/>
    <w:rsid w:val="00CC01AF"/>
    <w:rsid w:val="00CC2507"/>
    <w:rsid w:val="00CE32BF"/>
    <w:rsid w:val="00CE6DF4"/>
    <w:rsid w:val="00CE7756"/>
    <w:rsid w:val="00CF510F"/>
    <w:rsid w:val="00CF6AE6"/>
    <w:rsid w:val="00D021FE"/>
    <w:rsid w:val="00D055BE"/>
    <w:rsid w:val="00D05808"/>
    <w:rsid w:val="00D07890"/>
    <w:rsid w:val="00D24D14"/>
    <w:rsid w:val="00D45DE5"/>
    <w:rsid w:val="00D50B05"/>
    <w:rsid w:val="00D56FDB"/>
    <w:rsid w:val="00D66CF7"/>
    <w:rsid w:val="00D71F1B"/>
    <w:rsid w:val="00D85F1F"/>
    <w:rsid w:val="00D9022F"/>
    <w:rsid w:val="00D96872"/>
    <w:rsid w:val="00D978C8"/>
    <w:rsid w:val="00DA2D3B"/>
    <w:rsid w:val="00DB3D07"/>
    <w:rsid w:val="00DC453D"/>
    <w:rsid w:val="00DD36BF"/>
    <w:rsid w:val="00DE6771"/>
    <w:rsid w:val="00DF0858"/>
    <w:rsid w:val="00DF3424"/>
    <w:rsid w:val="00DF73D3"/>
    <w:rsid w:val="00E0276B"/>
    <w:rsid w:val="00E161C0"/>
    <w:rsid w:val="00E40E2E"/>
    <w:rsid w:val="00E53418"/>
    <w:rsid w:val="00E6252A"/>
    <w:rsid w:val="00E63AB2"/>
    <w:rsid w:val="00E648F3"/>
    <w:rsid w:val="00E67FBB"/>
    <w:rsid w:val="00E81D4A"/>
    <w:rsid w:val="00EA01E9"/>
    <w:rsid w:val="00EA6FF3"/>
    <w:rsid w:val="00EB165D"/>
    <w:rsid w:val="00ED29F1"/>
    <w:rsid w:val="00ED70CE"/>
    <w:rsid w:val="00EE43E6"/>
    <w:rsid w:val="00EF478D"/>
    <w:rsid w:val="00EF5D58"/>
    <w:rsid w:val="00F05C03"/>
    <w:rsid w:val="00F2076B"/>
    <w:rsid w:val="00F2274B"/>
    <w:rsid w:val="00F23D69"/>
    <w:rsid w:val="00F26074"/>
    <w:rsid w:val="00F37A2B"/>
    <w:rsid w:val="00F412B0"/>
    <w:rsid w:val="00F50620"/>
    <w:rsid w:val="00F52EA3"/>
    <w:rsid w:val="00F648B2"/>
    <w:rsid w:val="00F70C8A"/>
    <w:rsid w:val="00F76653"/>
    <w:rsid w:val="00F80B9E"/>
    <w:rsid w:val="00F8382B"/>
    <w:rsid w:val="00F90172"/>
    <w:rsid w:val="00F902F4"/>
    <w:rsid w:val="00F90E0F"/>
    <w:rsid w:val="00FB438F"/>
    <w:rsid w:val="00FC5099"/>
    <w:rsid w:val="00FC5509"/>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8F9E8A-8131-42EB-94AD-ACA623DF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1760</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22</cp:revision>
  <cp:lastPrinted>2016-03-27T22:28:00Z</cp:lastPrinted>
  <dcterms:created xsi:type="dcterms:W3CDTF">2016-05-07T23:44:00Z</dcterms:created>
  <dcterms:modified xsi:type="dcterms:W3CDTF">2016-05-09T02:10:00Z</dcterms:modified>
</cp:coreProperties>
</file>