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47A1"/>
          <w:sz w:val="28"/>
        </w:rPr>
        <w:t>PROTOCOLO CLÍNICO – 6 A 8 SEMANAS</w:t>
      </w:r>
    </w:p>
    <w:p>
      <w:pPr>
        <w:jc w:val="center"/>
      </w:pPr>
      <w:r>
        <w:rPr>
          <w:color w:val="0D47A1"/>
          <w:sz w:val="22"/>
        </w:rPr>
        <w:t>Hipertensão Intracraniana Idiopática (HII) com foco no sistema glinfático</w:t>
      </w:r>
    </w:p>
    <w:p/>
    <w:p>
      <w:r>
        <w:rPr>
          <w:b/>
        </w:rPr>
        <w:t>Objetivos terapêuticos</w:t>
      </w:r>
    </w:p>
    <w:p>
      <w:r>
        <w:t>• Otimizar a drenagem glinfática cerebral</w:t>
      </w:r>
    </w:p>
    <w:p>
      <w:r>
        <w:t>• Reduzir a pressão venosa intracraniana funcional</w:t>
      </w:r>
    </w:p>
    <w:p>
      <w:r>
        <w:t>• Restaurar sono NREM profundo</w:t>
      </w:r>
    </w:p>
    <w:p>
      <w:r>
        <w:t>• Reduzir neuroinflamação metabólica</w:t>
      </w:r>
    </w:p>
    <w:p>
      <w:r>
        <w:t>• Eliminar causas reversíveis (hipervitaminose A)</w:t>
      </w:r>
    </w:p>
    <w:p>
      <w:r>
        <w:t>• Diminuir cefaleia, brain fog e risco de papiledema</w:t>
      </w:r>
    </w:p>
    <w:p/>
    <w:p>
      <w:r>
        <w:rPr>
          <w:b/>
        </w:rPr>
        <w:t>Avaliação basal (Semana 0)</w:t>
      </w:r>
    </w:p>
    <w:p>
      <w:r>
        <w:t>• Cefaleia: intensidade, padrão matinal/noturno</w:t>
      </w:r>
    </w:p>
    <w:p>
      <w:r>
        <w:t>• Sintomas visuais e papiledema</w:t>
      </w:r>
    </w:p>
    <w:p>
      <w:r>
        <w:t>• Qualidade do sono e suspeita de apneia</w:t>
      </w:r>
    </w:p>
    <w:p>
      <w:r>
        <w:t>• Exames úteis: HOMA-IR/TyG, ácido úrico, ferritina, vitamina D, vitamina A sérica</w:t>
      </w:r>
    </w:p>
    <w:p>
      <w:r>
        <w:t>• Investigar uso de suplementos contendo vitamina A/betacaroteno</w:t>
      </w:r>
    </w:p>
    <w:p>
      <w:r>
        <w:t>• Investigar uso de cosméticos e dermocosméticos com retinol/retinoides</w:t>
      </w:r>
    </w:p>
    <w:p/>
    <w:p>
      <w:r>
        <w:rPr>
          <w:b/>
        </w:rPr>
        <w:t>Semanas 1–2: Destravamento glinfático + Eliminação de retinoides</w:t>
      </w:r>
    </w:p>
    <w:p>
      <w:r>
        <w:t>• Sono regular, decúbito lateral, evitar álcool e refeições noturnas volumosas</w:t>
      </w:r>
    </w:p>
    <w:p>
      <w:r>
        <w:t>• Respiração nasal lenta diária; evitar Valsalva e apneias voluntárias</w:t>
      </w:r>
    </w:p>
    <w:p>
      <w:r>
        <w:t>• Hidratação adequada ao longo do dia</w:t>
      </w:r>
    </w:p>
    <w:p>
      <w:r>
        <w:t>• Suspender suplementos com vitamina A, betacaroteno ou derivados</w:t>
      </w:r>
    </w:p>
    <w:p>
      <w:r>
        <w:t>• Suspender maquiagens e cosméticos contendo retinol, retinaldeído, tretinoína ou derivados de vitamina A</w:t>
      </w:r>
    </w:p>
    <w:p>
      <w:r>
        <w:t>• Revisar multivitamínicos (muitos contêm vitamina A em excesso)</w:t>
      </w:r>
    </w:p>
    <w:p/>
    <w:p>
      <w:r>
        <w:rPr>
          <w:b/>
        </w:rPr>
        <w:t>Semanas 3–4: Reorganização metabólica</w:t>
      </w:r>
    </w:p>
    <w:p>
      <w:r>
        <w:t>• Redução de carboidratos refinados e jantar mais leve</w:t>
      </w:r>
    </w:p>
    <w:p>
      <w:r>
        <w:t>• Controle de hiperinsulinemia e gordura visceral</w:t>
      </w:r>
    </w:p>
    <w:p>
      <w:r>
        <w:t>• Exercício aeróbico leve a moderado; evitar força com Valsalva</w:t>
      </w:r>
    </w:p>
    <w:p>
      <w:r>
        <w:t>• Manter suspensão de retinoides tópicos e orais</w:t>
      </w:r>
    </w:p>
    <w:p/>
    <w:p>
      <w:r>
        <w:rPr>
          <w:b/>
        </w:rPr>
        <w:t>Semanas 5–6: Otimização glinfática</w:t>
      </w:r>
    </w:p>
    <w:p>
      <w:r>
        <w:t>• Exercício aeróbico contínuo (zona 2–3), 30–45 min, 4–5x/semana</w:t>
      </w:r>
    </w:p>
    <w:p>
      <w:r>
        <w:t>• Consolidação do sono profundo e revisão de despertares</w:t>
      </w:r>
    </w:p>
    <w:p>
      <w:r>
        <w:t>• Evitar fatores de aumento sustentado de pressão intratorácica</w:t>
      </w:r>
    </w:p>
    <w:p/>
    <w:p>
      <w:r>
        <w:rPr>
          <w:b/>
        </w:rPr>
        <w:t>Semanas 7–8: Estabilização e decisão</w:t>
      </w:r>
    </w:p>
    <w:p>
      <w:r>
        <w:t>• Reavaliar cefaleia, sintomas visuais e qualidade do sono</w:t>
      </w:r>
    </w:p>
    <w:p>
      <w:r>
        <w:t>• Repetir dosagem de vitamina A sérica se elevada na avaliação inicial</w:t>
      </w:r>
    </w:p>
    <w:p>
      <w:r>
        <w:t>• Se refratário: investigar apneia não tratada e estenose de seios venosos</w:t>
      </w:r>
    </w:p>
    <w:p>
      <w:r>
        <w:t>• Manter integração com tratamento neurológico e oftalmológico</w:t>
      </w:r>
    </w:p>
    <w:p/>
    <w:p>
      <w:r>
        <w:rPr>
          <w:b/>
        </w:rPr>
        <w:t>Observação sobre Vitamina A:</w:t>
      </w:r>
    </w:p>
    <w:p>
      <w:r>
        <w:t>• Hipervitaminose A é causa conhecida de HII secundária</w:t>
      </w:r>
    </w:p>
    <w:p>
      <w:r>
        <w:t>• Fontes comuns: suplementos, multivitamínicos, fígado, cosméticos com retinol</w:t>
      </w:r>
    </w:p>
    <w:p>
      <w:r>
        <w:t>• Absorção cutânea de retinoides tópicos pode contribuir para toxicidade</w:t>
      </w:r>
    </w:p>
    <w:p>
      <w:r>
        <w:t>• Níveis séricos normais não excluem toxicidade tecidual</w:t>
      </w:r>
    </w:p>
    <w:p>
      <w:r>
        <w:t>• Melhora pode levar semanas a meses após suspensão</w:t>
      </w:r>
    </w:p>
    <w:p/>
    <w:p>
      <w:r>
        <w:rPr>
          <w:b/>
        </w:rPr>
        <w:t xml:space="preserve">Mensagem-chave: </w:t>
      </w:r>
      <w:r>
        <w:t>HII é falha de drenagem integrada. Sem tratar sono, inflamação, metabolismo e eliminar fontes de vitamina A, a pressão tende a recidivar.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97"/>
          <w:shd w:fill="8BC34A"/>
        </w:tcPr>
        <w:p/>
      </w:tc>
      <w:tc>
        <w:tcPr>
          <w:tcW w:type="dxa" w:w="8844"/>
        </w:tcPr>
        <w:p>
          <w:pPr>
            <w:jc w:val="center"/>
          </w:pPr>
          <w:r>
            <w:rPr>
              <w:color w:val="0D47A1"/>
              <w:sz w:val="14"/>
            </w:rPr>
            <w:t>Dr. Felipe Gargioni Barreto | Neurocirurgia e Cirurgia da Coluna | CREMESP 202824 | RQE 84400</w:t>
          </w:r>
        </w:p>
      </w:tc>
      <w:tc>
        <w:tcPr>
          <w:tcW w:type="dxa" w:w="397"/>
          <w:shd w:fill="0D47A1"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97"/>
          <w:shd w:fill="8BC34A"/>
        </w:tcPr>
        <w:p/>
      </w:tc>
      <w:tc>
        <w:tcPr>
          <w:tcW w:type="dxa" w:w="8844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62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imbol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62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7"/>
          <w:shd w:fill="0D47A1"/>
        </w:tcPr>
        <w:p/>
      </w:tc>
    </w:tr>
  </w:tbl>
  <w:p>
    <w:pPr>
      <w:jc w:val="center"/>
    </w:pPr>
    <w:r>
      <w:rPr>
        <w:color w:val="0D47A1"/>
      </w:rPr>
      <w:t>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