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C3EC" w14:textId="43B74904" w:rsidR="00590086" w:rsidRPr="006C6852" w:rsidRDefault="00590086" w:rsidP="006C6852">
      <w:pPr>
        <w:jc w:val="center"/>
        <w:rPr>
          <w:b/>
          <w:bCs/>
          <w:color w:val="4472C4" w:themeColor="accent1"/>
          <w:szCs w:val="20"/>
        </w:rPr>
      </w:pPr>
      <w:r w:rsidRPr="006C6852">
        <w:rPr>
          <w:b/>
          <w:bCs/>
          <w:color w:val="4472C4" w:themeColor="accent1"/>
          <w:sz w:val="40"/>
          <w:szCs w:val="32"/>
        </w:rPr>
        <w:t>Interpretability and Explainability in AI Systems: Models and Tools for Transparent Decision-Making</w:t>
      </w:r>
    </w:p>
    <w:p w14:paraId="51A931A4" w14:textId="457E7A02" w:rsidR="00590086" w:rsidRPr="00590086" w:rsidRDefault="00590086" w:rsidP="00590086"/>
    <w:p w14:paraId="62E2328C" w14:textId="243DD479" w:rsidR="00590086" w:rsidRPr="006C6852" w:rsidRDefault="006C6852" w:rsidP="00590086">
      <w:pPr>
        <w:rPr>
          <w:b/>
          <w:bCs/>
          <w:color w:val="4472C4" w:themeColor="accent1"/>
          <w:sz w:val="28"/>
          <w:szCs w:val="28"/>
        </w:rPr>
      </w:pPr>
      <w:r w:rsidRPr="006C6852">
        <w:rPr>
          <w:b/>
          <w:bCs/>
          <w:color w:val="4472C4" w:themeColor="accent1"/>
          <w:sz w:val="28"/>
          <w:szCs w:val="28"/>
        </w:rPr>
        <w:t>ABSTRACT</w:t>
      </w:r>
    </w:p>
    <w:p w14:paraId="088B905A" w14:textId="77777777" w:rsidR="006C6852" w:rsidRPr="006C6852" w:rsidRDefault="006C6852" w:rsidP="006C6852">
      <w:pPr>
        <w:jc w:val="both"/>
        <w:rPr>
          <w:sz w:val="22"/>
          <w:szCs w:val="20"/>
          <w:lang w:val="en-US"/>
        </w:rPr>
      </w:pPr>
      <w:r w:rsidRPr="006C6852">
        <w:rPr>
          <w:sz w:val="22"/>
          <w:szCs w:val="20"/>
          <w:lang w:val="en-US"/>
        </w:rPr>
        <w:t>Artificial Intelligence (AI) has demonstrated significant advancements across critical domains such as healthcare and finance through the use of sophisticated machine learning models, including Deep Neural Networks (DNNs) and XGBoost. While these models exhibit exceptional predictive performance, their inherent “black-box” nature limits interpretability, thereby raising concerns regarding transparency, trust, accountability, and ethical deployment in high-stakes applications.</w:t>
      </w:r>
    </w:p>
    <w:p w14:paraId="6D2D7B39" w14:textId="77777777" w:rsidR="006C6852" w:rsidRPr="006C6852" w:rsidRDefault="006C6852" w:rsidP="006C6852">
      <w:pPr>
        <w:jc w:val="both"/>
        <w:rPr>
          <w:sz w:val="22"/>
          <w:szCs w:val="20"/>
          <w:lang w:val="en-US"/>
        </w:rPr>
      </w:pPr>
      <w:r w:rsidRPr="006C6852">
        <w:rPr>
          <w:sz w:val="22"/>
          <w:szCs w:val="20"/>
          <w:lang w:val="en-US"/>
        </w:rPr>
        <w:t>This research aims to address these challenges by developing and evaluating interpretable AI frameworks through the integration of Explainable Artificial Intelligence (XAI) techniques. Specifically, methods such as SHAP (SHapley Additive exPlanations), LIME (Local Interpretable Model-Agnostic Explanations), and Anchors will be utilized to generate human-understandable explanations for the predictions of complex black-box models. The methodology involves selecting representative models, applying XAI tools to derive explanations, and visualizing the outcomes to assess model transparency, feature importance, and potential bias mitigation.</w:t>
      </w:r>
    </w:p>
    <w:p w14:paraId="04DD3232" w14:textId="77777777" w:rsidR="006C6852" w:rsidRPr="006C6852" w:rsidRDefault="006C6852" w:rsidP="006C6852">
      <w:pPr>
        <w:jc w:val="both"/>
        <w:rPr>
          <w:sz w:val="22"/>
          <w:szCs w:val="20"/>
          <w:lang w:val="en-US"/>
        </w:rPr>
      </w:pPr>
      <w:r w:rsidRPr="006C6852">
        <w:rPr>
          <w:sz w:val="22"/>
          <w:szCs w:val="20"/>
          <w:lang w:val="en-US"/>
        </w:rPr>
        <w:t>Empirical evaluation will be conducted using diverse real-world datasets, including the MIMIC-III clinical dataset, the Heart Disease UCI dataset, and stock market prediction data. These datasets enable the assessment of interpretability across both healthcare and financial contexts. The anticipated outcomes of this study include a comprehensive analysis of the trade-off between model accuracy and interpretability, contributing to the development of AI systems that are not only highly predictive but also explainable, reliable, and ethically sound.</w:t>
      </w:r>
    </w:p>
    <w:p w14:paraId="7088FB5D" w14:textId="06489721" w:rsidR="00590086" w:rsidRPr="006C6852" w:rsidRDefault="00590086" w:rsidP="00590086">
      <w:pPr>
        <w:rPr>
          <w:color w:val="4472C4" w:themeColor="accent1"/>
        </w:rPr>
      </w:pPr>
    </w:p>
    <w:p w14:paraId="48600F92" w14:textId="77777777" w:rsidR="003210F8" w:rsidRDefault="003210F8" w:rsidP="003210F8">
      <w:pPr>
        <w:ind w:left="-144"/>
        <w:rPr>
          <w:b/>
          <w:bCs/>
          <w:color w:val="4472C4" w:themeColor="accent1"/>
          <w:sz w:val="28"/>
          <w:szCs w:val="28"/>
        </w:rPr>
        <w:sectPr w:rsidR="003210F8">
          <w:pgSz w:w="11906" w:h="16838"/>
          <w:pgMar w:top="1440" w:right="1440" w:bottom="1440" w:left="1440" w:header="708" w:footer="708" w:gutter="0"/>
          <w:cols w:space="708"/>
          <w:docGrid w:linePitch="360"/>
        </w:sectPr>
      </w:pPr>
    </w:p>
    <w:p w14:paraId="52201266" w14:textId="3FE9E856" w:rsidR="00590086" w:rsidRPr="006C6852" w:rsidRDefault="006C6852" w:rsidP="003210F8">
      <w:pPr>
        <w:ind w:left="-144"/>
        <w:jc w:val="both"/>
        <w:rPr>
          <w:b/>
          <w:bCs/>
          <w:color w:val="4472C4" w:themeColor="accent1"/>
          <w:sz w:val="28"/>
          <w:szCs w:val="28"/>
        </w:rPr>
      </w:pPr>
      <w:r w:rsidRPr="006C6852">
        <w:rPr>
          <w:b/>
          <w:bCs/>
          <w:color w:val="4472C4" w:themeColor="accent1"/>
          <w:sz w:val="28"/>
          <w:szCs w:val="28"/>
        </w:rPr>
        <w:t>INTRODUCTION</w:t>
      </w:r>
    </w:p>
    <w:p w14:paraId="698CD0C9" w14:textId="77777777" w:rsidR="002417D8" w:rsidRPr="002417D8" w:rsidRDefault="002417D8" w:rsidP="003210F8">
      <w:pPr>
        <w:ind w:left="-144" w:right="-144"/>
        <w:jc w:val="both"/>
        <w:rPr>
          <w:lang w:val="en-US"/>
        </w:rPr>
      </w:pPr>
      <w:r w:rsidRPr="002417D8">
        <w:rPr>
          <w:lang w:val="en-US"/>
        </w:rPr>
        <w:t xml:space="preserve">Artificial Intelligence (AI) has emerged as a transformative technology, reshaping industries such as healthcare, finance, transportation, and education through its ability to analyze complex data and make accurate predictions. With the rapid advancement of machine learning algorithms, models such as Deep Neural Networks (DNNs), Gradient Boosting Machines (e.g., XGBoost), and ensemble techniques have achieved remarkable predictive performance across various domains. However, despite their effectiveness, these models often </w:t>
      </w:r>
      <w:r w:rsidRPr="002417D8">
        <w:rPr>
          <w:lang w:val="en-US"/>
        </w:rPr>
        <w:t>function as “black boxes,” providing little to no insight into how specific decisions or predictions are made. This lack of interpretability poses significant challenges, particularly in high-stakes applications where transparency, accountability, and ethical considerations are paramount.</w:t>
      </w:r>
    </w:p>
    <w:p w14:paraId="7B4F6EF2" w14:textId="77777777" w:rsidR="00085301" w:rsidRDefault="002417D8" w:rsidP="003210F8">
      <w:pPr>
        <w:ind w:left="-144"/>
        <w:jc w:val="both"/>
        <w:rPr>
          <w:lang w:val="en-US"/>
        </w:rPr>
      </w:pPr>
      <w:r w:rsidRPr="002417D8">
        <w:rPr>
          <w:lang w:val="en-US"/>
        </w:rPr>
        <w:t xml:space="preserve">In sectors like healthcare and finance, where decisions directly affect human lives and economic stability, understanding the rationale behind AI predictions is crucial. For instance, in medical diagnostics, an AI model may predict a patient’s risk of disease with high accuracy, but without clear </w:t>
      </w:r>
      <w:r w:rsidRPr="002417D8">
        <w:rPr>
          <w:lang w:val="en-US"/>
        </w:rPr>
        <w:lastRenderedPageBreak/>
        <w:t>explanations, medical professionals may find it difficult to trust or validate the model’s decision. Similarly, in financial forecasting, opaque AI models can lead to biased or unreliable outcomes, potentially resulting in financial loss or ethical concerns. These issues highlight the urgent need for explainable and interpretable AI systems that can bridge the gap between accuracy and understanding.</w:t>
      </w:r>
    </w:p>
    <w:p w14:paraId="5FBD85EC" w14:textId="21C476FE" w:rsidR="002417D8" w:rsidRDefault="00085301" w:rsidP="00085301">
      <w:pPr>
        <w:ind w:left="-144"/>
        <w:jc w:val="both"/>
        <w:rPr>
          <w:lang w:val="en-US"/>
        </w:rPr>
      </w:pPr>
      <w:r>
        <w:rPr>
          <w:noProof/>
          <w:lang w:val="en-US"/>
        </w:rPr>
        <w:drawing>
          <wp:inline distT="0" distB="0" distL="0" distR="0" wp14:anchorId="11B34D68" wp14:editId="15CB54D1">
            <wp:extent cx="2995821" cy="2286000"/>
            <wp:effectExtent l="0" t="0" r="0" b="0"/>
            <wp:docPr id="125318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9865" name="Picture 12531898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2909" cy="2299039"/>
                    </a:xfrm>
                    <a:prstGeom prst="rect">
                      <a:avLst/>
                    </a:prstGeom>
                  </pic:spPr>
                </pic:pic>
              </a:graphicData>
            </a:graphic>
          </wp:inline>
        </w:drawing>
      </w:r>
      <w:r w:rsidR="002417D8" w:rsidRPr="002417D8">
        <w:rPr>
          <w:lang w:val="en-US"/>
        </w:rPr>
        <w:t>Explainable Artificial Intelligence (XAI) has emerged as a promising approach to address these concerns by making AI decision-making processes transparent and interpretable to humans. XAI techniques aim to explain model behavior, identify key features influencing predictions, and ensure fairness by detecting potential biases. Tools such as SHAP (SHapley Additive exPlanations), LIME (Local Interpretable Model-Agnostic Explanations), and Anchors have gained popularity for their ability to provide meaningful and localized explanations of model outputs without compromising too much on predictive performance.</w:t>
      </w:r>
    </w:p>
    <w:p w14:paraId="1CF359F8" w14:textId="77777777" w:rsidR="00085301" w:rsidRDefault="00085301" w:rsidP="00085301">
      <w:pPr>
        <w:ind w:left="-144"/>
        <w:jc w:val="both"/>
        <w:rPr>
          <w:lang w:val="en-US"/>
        </w:rPr>
      </w:pPr>
    </w:p>
    <w:p w14:paraId="247AA94F" w14:textId="77777777" w:rsidR="00085301" w:rsidRDefault="00085301" w:rsidP="00085301">
      <w:pPr>
        <w:ind w:left="-144"/>
        <w:jc w:val="both"/>
        <w:rPr>
          <w:lang w:val="en-US"/>
        </w:rPr>
      </w:pPr>
    </w:p>
    <w:p w14:paraId="21188FD3" w14:textId="60940DBB" w:rsidR="00085301" w:rsidRPr="002417D8" w:rsidRDefault="00085301" w:rsidP="00085301">
      <w:pPr>
        <w:ind w:left="-144"/>
        <w:jc w:val="both"/>
        <w:rPr>
          <w:lang w:val="en-US"/>
        </w:rPr>
      </w:pPr>
      <w:r>
        <w:rPr>
          <w:noProof/>
          <w:lang w:val="en-US"/>
        </w:rPr>
        <w:drawing>
          <wp:inline distT="0" distB="0" distL="0" distR="0" wp14:anchorId="2ADFB1E0" wp14:editId="0111753D">
            <wp:extent cx="2637155" cy="2227580"/>
            <wp:effectExtent l="0" t="0" r="0" b="0"/>
            <wp:docPr id="1484485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85659" name="Picture 148448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7155" cy="2227580"/>
                    </a:xfrm>
                    <a:prstGeom prst="rect">
                      <a:avLst/>
                    </a:prstGeom>
                  </pic:spPr>
                </pic:pic>
              </a:graphicData>
            </a:graphic>
          </wp:inline>
        </w:drawing>
      </w:r>
    </w:p>
    <w:p w14:paraId="04C79B76" w14:textId="77777777" w:rsidR="002417D8" w:rsidRPr="002417D8" w:rsidRDefault="002417D8" w:rsidP="003210F8">
      <w:pPr>
        <w:ind w:left="-144"/>
        <w:jc w:val="both"/>
        <w:rPr>
          <w:lang w:val="en-US"/>
        </w:rPr>
      </w:pPr>
      <w:r w:rsidRPr="002417D8">
        <w:rPr>
          <w:lang w:val="en-US"/>
        </w:rPr>
        <w:t>Ultimately, this research seeks to contribute to the growing field of interpretable AI by providing practical insights into how explainability can be effectively incorporated into complex machine learning models. The findings are expected to support the development of AI systems that are not only accurate and efficient but also trustworthy, ethical, and aligned with human understanding.</w:t>
      </w:r>
    </w:p>
    <w:p w14:paraId="4C556050" w14:textId="0F4146FF" w:rsidR="00590086" w:rsidRPr="002417D8" w:rsidRDefault="002417D8" w:rsidP="003210F8">
      <w:pPr>
        <w:ind w:left="-144"/>
        <w:jc w:val="both"/>
        <w:rPr>
          <w:b/>
          <w:bCs/>
          <w:color w:val="4472C4" w:themeColor="accent1"/>
          <w:sz w:val="28"/>
          <w:szCs w:val="28"/>
        </w:rPr>
      </w:pPr>
      <w:r w:rsidRPr="002417D8">
        <w:rPr>
          <w:b/>
          <w:bCs/>
          <w:color w:val="4472C4" w:themeColor="accent1"/>
          <w:sz w:val="28"/>
          <w:szCs w:val="28"/>
        </w:rPr>
        <w:t>LITRATURE REVIEW</w:t>
      </w:r>
    </w:p>
    <w:p w14:paraId="72DC058D" w14:textId="77777777" w:rsidR="002417D8" w:rsidRPr="002417D8" w:rsidRDefault="002417D8" w:rsidP="003210F8">
      <w:pPr>
        <w:ind w:left="-144"/>
        <w:jc w:val="both"/>
        <w:rPr>
          <w:lang w:val="en-US"/>
        </w:rPr>
      </w:pPr>
      <w:r w:rsidRPr="002417D8">
        <w:rPr>
          <w:lang w:val="en-US"/>
        </w:rPr>
        <w:t xml:space="preserve">The growing dependence on Artificial Intelligence (AI) and machine learning models in critical decision-making systems has led to a parallel rise in the demand for interpretability and transparency. Traditionally, machine learning algorithms such as linear regression and decision trees were inherently interpretable, allowing researchers and practitioners to understand the relationship between input features and outcomes. However, with the advent of complex models like Deep Neural Networks (DNNs), Random Forests, and Gradient Boosting frameworks such as XGBoost, the interpretability of AI systems has diminished significantly (Lipton, 2018). These models, although highly accurate, operate as “black boxes,” making it challenging to understand </w:t>
      </w:r>
      <w:r w:rsidRPr="002417D8">
        <w:rPr>
          <w:lang w:val="en-US"/>
        </w:rPr>
        <w:lastRenderedPageBreak/>
        <w:t>how specific inputs lead to certain predictions.</w:t>
      </w:r>
    </w:p>
    <w:p w14:paraId="7DCDEA08" w14:textId="77777777" w:rsidR="002417D8" w:rsidRPr="002417D8" w:rsidRDefault="002417D8" w:rsidP="003210F8">
      <w:pPr>
        <w:ind w:left="-144"/>
        <w:jc w:val="both"/>
        <w:rPr>
          <w:lang w:val="en-US"/>
        </w:rPr>
      </w:pPr>
      <w:r w:rsidRPr="002417D8">
        <w:rPr>
          <w:lang w:val="en-US"/>
        </w:rPr>
        <w:t xml:space="preserve">Ribeiro, Singh, and Guestrin (2016) introduced </w:t>
      </w:r>
      <w:r w:rsidRPr="002417D8">
        <w:rPr>
          <w:b/>
          <w:bCs/>
          <w:lang w:val="en-US"/>
        </w:rPr>
        <w:t>LIME (Local Interpretable Model-Agnostic Explanations)</w:t>
      </w:r>
      <w:r w:rsidRPr="002417D8">
        <w:rPr>
          <w:lang w:val="en-US"/>
        </w:rPr>
        <w:t xml:space="preserve"> as one of the first model-agnostic tools for explaining individual predictions. LIME generates local approximations of complex models using simpler, interpretable models such as linear regressions. Similarly, Lundberg and Lee (2017) proposed </w:t>
      </w:r>
      <w:r w:rsidRPr="002417D8">
        <w:rPr>
          <w:b/>
          <w:bCs/>
          <w:lang w:val="en-US"/>
        </w:rPr>
        <w:t>SHAP (SHapley Additive exPlanations)</w:t>
      </w:r>
      <w:r w:rsidRPr="002417D8">
        <w:rPr>
          <w:lang w:val="en-US"/>
        </w:rPr>
        <w:t xml:space="preserve">, a unified framework based on cooperative game theory that quantifies the contribution of each feature to a model’s prediction. SHAP has since become one of the most widely adopted XAI techniques due to its consistency and theoretical soundness. Another notable contribution is </w:t>
      </w:r>
      <w:r w:rsidRPr="002417D8">
        <w:rPr>
          <w:b/>
          <w:bCs/>
          <w:lang w:val="en-US"/>
        </w:rPr>
        <w:t>Anchors</w:t>
      </w:r>
      <w:r w:rsidRPr="002417D8">
        <w:rPr>
          <w:lang w:val="en-US"/>
        </w:rPr>
        <w:t>, proposed by Ribeiro et al. (2018), which provides high-precision rules that “anchor” a model’s prediction locally, ensuring the explanation remains valid for similar inputs.</w:t>
      </w:r>
    </w:p>
    <w:p w14:paraId="5F981FD4" w14:textId="2727BDFF" w:rsidR="002417D8" w:rsidRPr="002417D8" w:rsidRDefault="002417D8" w:rsidP="003210F8">
      <w:pPr>
        <w:jc w:val="both"/>
        <w:rPr>
          <w:lang w:val="en-US"/>
        </w:rPr>
      </w:pPr>
      <w:r w:rsidRPr="002417D8">
        <w:rPr>
          <w:lang w:val="en-US"/>
        </w:rPr>
        <w:t xml:space="preserve">The literature also emphasizes the importance of interpretability in domain-specific applications. In healthcare, Tjoa and Guan (2020) reviewed how XAI enhances clinical decision support systems by enabling medical professionals to trust AI-generated outcomes. For instance, explanations derived from SHAP have been used to identify critical biomarkers in disease prediction models, improving both diagnostic accuracy and trustworthiness. In the financial sector, Bussmann et al. (2021) highlighted the role of explainable models in credit scoring and risk assessment, where regulatory compliance requires transparency and justification for automated decisions. These studies collectively underscore the necessity of </w:t>
      </w:r>
      <w:r w:rsidRPr="002417D8">
        <w:rPr>
          <w:lang w:val="en-US"/>
        </w:rPr>
        <w:t>balancing model performance with interpretability in sensitive domains.</w:t>
      </w:r>
      <w:r w:rsidR="00085301">
        <w:rPr>
          <w:noProof/>
          <w:lang w:val="en-US"/>
        </w:rPr>
        <w:drawing>
          <wp:inline distT="0" distB="0" distL="0" distR="0" wp14:anchorId="3AB0A206" wp14:editId="66D47ECD">
            <wp:extent cx="2637155" cy="1746250"/>
            <wp:effectExtent l="0" t="0" r="0" b="0"/>
            <wp:docPr id="20984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12143" name="Picture 20984121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7155" cy="1746250"/>
                    </a:xfrm>
                    <a:prstGeom prst="rect">
                      <a:avLst/>
                    </a:prstGeom>
                  </pic:spPr>
                </pic:pic>
              </a:graphicData>
            </a:graphic>
          </wp:inline>
        </w:drawing>
      </w:r>
    </w:p>
    <w:p w14:paraId="6A09E9A5" w14:textId="77777777" w:rsidR="002417D8" w:rsidRPr="002417D8" w:rsidRDefault="002417D8" w:rsidP="003210F8">
      <w:pPr>
        <w:jc w:val="both"/>
        <w:rPr>
          <w:lang w:val="en-US"/>
        </w:rPr>
      </w:pPr>
      <w:r w:rsidRPr="002417D8">
        <w:rPr>
          <w:lang w:val="en-US"/>
        </w:rPr>
        <w:t xml:space="preserve">Recent research has also explored the </w:t>
      </w:r>
      <w:r w:rsidRPr="002417D8">
        <w:rPr>
          <w:b/>
          <w:bCs/>
          <w:lang w:val="en-US"/>
        </w:rPr>
        <w:t>trade-off between accuracy and interpretability</w:t>
      </w:r>
      <w:r w:rsidRPr="002417D8">
        <w:rPr>
          <w:lang w:val="en-US"/>
        </w:rPr>
        <w:t>, an ongoing challenge in AI development. While simpler models offer greater transparency, they often sacrifice predictive accuracy. Conversely, deep and ensemble models yield superior performance but obscure the decision-making process (Doshi-Velez &amp; Kim, 2017). Researchers have proposed hybrid approaches, combining interpretable surrogate models with black-box predictors to achieve a balance between the two dimensions. Visualization tools and model-agnostic explanation techniques have further enhanced user understanding and trust.</w:t>
      </w:r>
    </w:p>
    <w:p w14:paraId="195552C9" w14:textId="77777777" w:rsidR="002417D8" w:rsidRPr="002417D8" w:rsidRDefault="002417D8" w:rsidP="003210F8">
      <w:pPr>
        <w:jc w:val="both"/>
        <w:rPr>
          <w:lang w:val="en-US"/>
        </w:rPr>
      </w:pPr>
      <w:r w:rsidRPr="002417D8">
        <w:rPr>
          <w:lang w:val="en-US"/>
        </w:rPr>
        <w:t>Despite these advancements, challenges remain in standardizing evaluation metrics for interpretability and ensuring explanations are meaningful to end-users. Many existing XAI methods are domain-dependent and may not generalize across datasets or model types. Therefore, there is a growing research interest in developing unified frameworks that can quantify interpretability and reliability in a consistent manner (Guidotti et al., 2018).</w:t>
      </w:r>
    </w:p>
    <w:p w14:paraId="79559573" w14:textId="77777777" w:rsidR="002417D8" w:rsidRPr="002417D8" w:rsidRDefault="002417D8" w:rsidP="003210F8">
      <w:pPr>
        <w:jc w:val="both"/>
        <w:rPr>
          <w:lang w:val="en-US"/>
        </w:rPr>
      </w:pPr>
      <w:r w:rsidRPr="002417D8">
        <w:rPr>
          <w:lang w:val="en-US"/>
        </w:rPr>
        <w:lastRenderedPageBreak/>
        <w:t>This study builds upon these prior works by systematically applying and comparing leading XAI techniques—SHAP, LIME, and Anchors—on diverse datasets from healthcare and finance. Through this comparative analysis, the research aims to evaluate how effectively these methods enhance transparency, identify feature relevance, and reduce bias, while maintaining competitive predictive performance.</w:t>
      </w:r>
    </w:p>
    <w:p w14:paraId="771D3F40" w14:textId="4F078B2A" w:rsidR="00590086" w:rsidRPr="003210F8" w:rsidRDefault="002417D8" w:rsidP="003210F8">
      <w:pPr>
        <w:jc w:val="both"/>
        <w:rPr>
          <w:b/>
          <w:bCs/>
          <w:color w:val="4472C4" w:themeColor="accent1"/>
          <w:sz w:val="28"/>
          <w:szCs w:val="22"/>
        </w:rPr>
      </w:pPr>
      <w:r w:rsidRPr="003210F8">
        <w:rPr>
          <w:b/>
          <w:bCs/>
          <w:color w:val="4472C4" w:themeColor="accent1"/>
          <w:sz w:val="28"/>
          <w:szCs w:val="22"/>
        </w:rPr>
        <w:t>METHODOLOGY</w:t>
      </w:r>
    </w:p>
    <w:p w14:paraId="274EA361" w14:textId="77777777" w:rsidR="002417D8" w:rsidRPr="002417D8" w:rsidRDefault="002417D8" w:rsidP="003210F8">
      <w:pPr>
        <w:jc w:val="both"/>
        <w:rPr>
          <w:sz w:val="22"/>
          <w:szCs w:val="18"/>
          <w:lang w:val="en-US"/>
        </w:rPr>
      </w:pPr>
      <w:r w:rsidRPr="002417D8">
        <w:rPr>
          <w:sz w:val="22"/>
          <w:szCs w:val="18"/>
          <w:lang w:val="en-US"/>
        </w:rPr>
        <w:t>This study adopts an experimental research design to evaluate the effectiveness of Explainable Artificial Intelligence (XAI) techniques—specifically SHAP, LIME, and Anchors—in enhancing the interpretability of black-box models such as Deep Neural Networks (DNNs) and XGBoost. The methodology focuses on assessing how these explanation methods improve model transparency, identify feature relevance, and support trust and bias mitigation across different domains, including healthcare and finance.</w:t>
      </w:r>
    </w:p>
    <w:p w14:paraId="0EDE77B0" w14:textId="6FAF6C3C" w:rsidR="002417D8" w:rsidRPr="00EB0720" w:rsidRDefault="002417D8" w:rsidP="00EB0720">
      <w:pPr>
        <w:jc w:val="both"/>
        <w:rPr>
          <w:b/>
          <w:bCs/>
          <w:szCs w:val="20"/>
          <w:lang w:val="en-US"/>
        </w:rPr>
      </w:pPr>
      <w:r w:rsidRPr="00EB0720">
        <w:rPr>
          <w:b/>
          <w:bCs/>
          <w:szCs w:val="20"/>
          <w:lang w:val="en-US"/>
        </w:rPr>
        <w:t>Dataset Selection</w:t>
      </w:r>
    </w:p>
    <w:p w14:paraId="07A25E4D" w14:textId="77777777" w:rsidR="002417D8" w:rsidRPr="002417D8" w:rsidRDefault="002417D8" w:rsidP="003210F8">
      <w:pPr>
        <w:jc w:val="both"/>
        <w:rPr>
          <w:sz w:val="22"/>
          <w:szCs w:val="18"/>
          <w:lang w:val="en-US"/>
        </w:rPr>
      </w:pPr>
      <w:r w:rsidRPr="002417D8">
        <w:rPr>
          <w:sz w:val="22"/>
          <w:szCs w:val="18"/>
          <w:lang w:val="en-US"/>
        </w:rPr>
        <w:t>To ensure the generalizability of results, three real-world datasets were selected from distinct application domains:</w:t>
      </w:r>
    </w:p>
    <w:p w14:paraId="7B086EC2" w14:textId="77777777" w:rsidR="002417D8" w:rsidRPr="002417D8" w:rsidRDefault="002417D8" w:rsidP="003210F8">
      <w:pPr>
        <w:numPr>
          <w:ilvl w:val="0"/>
          <w:numId w:val="6"/>
        </w:numPr>
        <w:ind w:left="0"/>
        <w:jc w:val="both"/>
        <w:rPr>
          <w:sz w:val="22"/>
          <w:szCs w:val="18"/>
          <w:lang w:val="en-US"/>
        </w:rPr>
      </w:pPr>
      <w:r w:rsidRPr="002417D8">
        <w:rPr>
          <w:sz w:val="22"/>
          <w:szCs w:val="18"/>
          <w:lang w:val="en-US"/>
        </w:rPr>
        <w:t>MIMIC-III Healthcare Dataset: A publicly available clinical database containing de-identified health records of intensive care unit (ICU) patients. It is used for tasks such as disease prediction, mortality estimation, and treatment recommendation.</w:t>
      </w:r>
    </w:p>
    <w:p w14:paraId="0D8E10ED" w14:textId="77777777" w:rsidR="002417D8" w:rsidRPr="002417D8" w:rsidRDefault="002417D8" w:rsidP="003210F8">
      <w:pPr>
        <w:numPr>
          <w:ilvl w:val="0"/>
          <w:numId w:val="6"/>
        </w:numPr>
        <w:ind w:left="0"/>
        <w:jc w:val="both"/>
        <w:rPr>
          <w:sz w:val="22"/>
          <w:szCs w:val="18"/>
          <w:lang w:val="en-US"/>
        </w:rPr>
      </w:pPr>
      <w:r w:rsidRPr="002417D8">
        <w:rPr>
          <w:sz w:val="22"/>
          <w:szCs w:val="18"/>
          <w:lang w:val="en-US"/>
        </w:rPr>
        <w:t>Heart Disease UCI Dataset: A widely used dataset for cardiovascular disease prediction, containing patient attributes such as age, cholesterol level, blood pressure, and heart rate.</w:t>
      </w:r>
    </w:p>
    <w:p w14:paraId="1E2BFEBC" w14:textId="77777777" w:rsidR="002417D8" w:rsidRPr="002417D8" w:rsidRDefault="002417D8" w:rsidP="003210F8">
      <w:pPr>
        <w:numPr>
          <w:ilvl w:val="0"/>
          <w:numId w:val="6"/>
        </w:numPr>
        <w:ind w:left="0"/>
        <w:jc w:val="both"/>
        <w:rPr>
          <w:sz w:val="22"/>
          <w:szCs w:val="18"/>
          <w:lang w:val="en-US"/>
        </w:rPr>
      </w:pPr>
      <w:r w:rsidRPr="002417D8">
        <w:rPr>
          <w:sz w:val="22"/>
          <w:szCs w:val="18"/>
          <w:lang w:val="en-US"/>
        </w:rPr>
        <w:t>Stock Market Prediction Dataset: A time-series dataset representing historical financial indicators used for predicting stock price movements or trends.</w:t>
      </w:r>
    </w:p>
    <w:p w14:paraId="18D83356" w14:textId="77777777" w:rsidR="002417D8" w:rsidRDefault="002417D8" w:rsidP="003210F8">
      <w:pPr>
        <w:jc w:val="both"/>
        <w:rPr>
          <w:sz w:val="22"/>
          <w:szCs w:val="18"/>
          <w:lang w:val="en-US"/>
        </w:rPr>
      </w:pPr>
      <w:r w:rsidRPr="002417D8">
        <w:rPr>
          <w:sz w:val="22"/>
          <w:szCs w:val="18"/>
          <w:lang w:val="en-US"/>
        </w:rPr>
        <w:t>These datasets provide diverse contexts—clinical, diagnostic, and financial—enabling comprehensive analysis of XAI performance across multiple high-stakes domains.</w:t>
      </w:r>
    </w:p>
    <w:p w14:paraId="51A3DAD1" w14:textId="42C51C21" w:rsidR="00EB0720" w:rsidRPr="002417D8" w:rsidRDefault="00EB0720" w:rsidP="003210F8">
      <w:pPr>
        <w:jc w:val="both"/>
        <w:rPr>
          <w:sz w:val="22"/>
          <w:szCs w:val="18"/>
          <w:lang w:val="en-US"/>
        </w:rPr>
      </w:pPr>
      <w:r>
        <w:rPr>
          <w:noProof/>
          <w:sz w:val="22"/>
          <w:szCs w:val="18"/>
          <w:lang w:val="en-US"/>
        </w:rPr>
        <w:drawing>
          <wp:inline distT="0" distB="0" distL="0" distR="0" wp14:anchorId="1ED5029F" wp14:editId="4D622D48">
            <wp:extent cx="2637155" cy="2054860"/>
            <wp:effectExtent l="0" t="0" r="0" b="2540"/>
            <wp:docPr id="36468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87515" name="Picture 3646875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7155" cy="2054860"/>
                    </a:xfrm>
                    <a:prstGeom prst="rect">
                      <a:avLst/>
                    </a:prstGeom>
                  </pic:spPr>
                </pic:pic>
              </a:graphicData>
            </a:graphic>
          </wp:inline>
        </w:drawing>
      </w:r>
    </w:p>
    <w:p w14:paraId="39363732" w14:textId="6C3562CC" w:rsidR="002417D8" w:rsidRPr="002417D8" w:rsidRDefault="002417D8" w:rsidP="003210F8">
      <w:pPr>
        <w:jc w:val="both"/>
        <w:rPr>
          <w:b/>
          <w:bCs/>
          <w:szCs w:val="20"/>
          <w:lang w:val="en-US"/>
        </w:rPr>
      </w:pPr>
      <w:r w:rsidRPr="002417D8">
        <w:rPr>
          <w:b/>
          <w:bCs/>
          <w:szCs w:val="20"/>
          <w:lang w:val="en-US"/>
        </w:rPr>
        <w:t>Model Selection</w:t>
      </w:r>
    </w:p>
    <w:p w14:paraId="6FF0418B" w14:textId="77777777" w:rsidR="002417D8" w:rsidRPr="002417D8" w:rsidRDefault="002417D8" w:rsidP="003210F8">
      <w:pPr>
        <w:jc w:val="both"/>
        <w:rPr>
          <w:sz w:val="22"/>
          <w:szCs w:val="18"/>
          <w:lang w:val="en-US"/>
        </w:rPr>
      </w:pPr>
      <w:r w:rsidRPr="002417D8">
        <w:rPr>
          <w:sz w:val="22"/>
          <w:szCs w:val="18"/>
          <w:lang w:val="en-US"/>
        </w:rPr>
        <w:t>Two black-box models were employed due to their widespread use and high predictive performance:</w:t>
      </w:r>
    </w:p>
    <w:p w14:paraId="6F0F5D2A" w14:textId="77777777" w:rsidR="002417D8" w:rsidRPr="002417D8" w:rsidRDefault="002417D8" w:rsidP="003210F8">
      <w:pPr>
        <w:numPr>
          <w:ilvl w:val="0"/>
          <w:numId w:val="7"/>
        </w:numPr>
        <w:ind w:left="0"/>
        <w:jc w:val="both"/>
        <w:rPr>
          <w:sz w:val="22"/>
          <w:szCs w:val="18"/>
          <w:lang w:val="en-US"/>
        </w:rPr>
      </w:pPr>
      <w:r w:rsidRPr="002417D8">
        <w:rPr>
          <w:sz w:val="22"/>
          <w:szCs w:val="18"/>
          <w:lang w:val="en-US"/>
        </w:rPr>
        <w:t>Deep Neural Networks (DNNs): Representing complex, non-linear relationships in data through multiple hidden layers. DNNs are used primarily for healthcare-related predictions in this study.</w:t>
      </w:r>
    </w:p>
    <w:p w14:paraId="3B761536" w14:textId="77777777" w:rsidR="002417D8" w:rsidRPr="002417D8" w:rsidRDefault="002417D8" w:rsidP="003210F8">
      <w:pPr>
        <w:numPr>
          <w:ilvl w:val="0"/>
          <w:numId w:val="7"/>
        </w:numPr>
        <w:ind w:left="0"/>
        <w:jc w:val="both"/>
        <w:rPr>
          <w:sz w:val="22"/>
          <w:szCs w:val="18"/>
          <w:lang w:val="en-US"/>
        </w:rPr>
      </w:pPr>
      <w:r w:rsidRPr="002417D8">
        <w:rPr>
          <w:sz w:val="22"/>
          <w:szCs w:val="18"/>
          <w:lang w:val="en-US"/>
        </w:rPr>
        <w:t>XGBoost (Extreme Gradient Boosting): An optimized gradient boosting algorithm known for its efficiency and superior accuracy in tabular and financial data modeling.</w:t>
      </w:r>
    </w:p>
    <w:p w14:paraId="3C188352" w14:textId="708F97CF" w:rsidR="002417D8" w:rsidRPr="002417D8" w:rsidRDefault="002417D8" w:rsidP="003210F8">
      <w:pPr>
        <w:jc w:val="both"/>
        <w:rPr>
          <w:sz w:val="22"/>
          <w:szCs w:val="18"/>
          <w:lang w:val="en-US"/>
        </w:rPr>
      </w:pPr>
      <w:r w:rsidRPr="002417D8">
        <w:rPr>
          <w:sz w:val="22"/>
          <w:szCs w:val="18"/>
          <w:lang w:val="en-US"/>
        </w:rPr>
        <w:t xml:space="preserve">Each model was trained and validated on its respective dataset using standard data preprocessing, normalization, and train-test splitting procedures (typically 80:20 ratio). Hyperparameters were tuned using grid search or Bayesian optimization to achieve optimal </w:t>
      </w:r>
      <w:r w:rsidRPr="002417D8">
        <w:rPr>
          <w:sz w:val="22"/>
          <w:szCs w:val="18"/>
          <w:lang w:val="en-US"/>
        </w:rPr>
        <w:lastRenderedPageBreak/>
        <w:t>performance.</w:t>
      </w:r>
      <w:r w:rsidR="00EB0720">
        <w:rPr>
          <w:noProof/>
          <w:sz w:val="22"/>
          <w:szCs w:val="18"/>
          <w:lang w:val="en-US"/>
        </w:rPr>
        <w:drawing>
          <wp:inline distT="0" distB="0" distL="0" distR="0" wp14:anchorId="4FBFCCD8" wp14:editId="14E12479">
            <wp:extent cx="2637155" cy="2438400"/>
            <wp:effectExtent l="0" t="0" r="0" b="0"/>
            <wp:docPr id="1045204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04736" name="Picture 1045204736"/>
                    <pic:cNvPicPr/>
                  </pic:nvPicPr>
                  <pic:blipFill>
                    <a:blip r:embed="rId9">
                      <a:extLst>
                        <a:ext uri="{28A0092B-C50C-407E-A947-70E740481C1C}">
                          <a14:useLocalDpi xmlns:a14="http://schemas.microsoft.com/office/drawing/2010/main" val="0"/>
                        </a:ext>
                      </a:extLst>
                    </a:blip>
                    <a:stretch>
                      <a:fillRect/>
                    </a:stretch>
                  </pic:blipFill>
                  <pic:spPr>
                    <a:xfrm>
                      <a:off x="0" y="0"/>
                      <a:ext cx="2637155" cy="2438400"/>
                    </a:xfrm>
                    <a:prstGeom prst="rect">
                      <a:avLst/>
                    </a:prstGeom>
                  </pic:spPr>
                </pic:pic>
              </a:graphicData>
            </a:graphic>
          </wp:inline>
        </w:drawing>
      </w:r>
    </w:p>
    <w:p w14:paraId="1372BE4D" w14:textId="19561CD2" w:rsidR="002417D8" w:rsidRPr="002417D8" w:rsidRDefault="002417D8" w:rsidP="003210F8">
      <w:pPr>
        <w:jc w:val="both"/>
        <w:rPr>
          <w:b/>
          <w:bCs/>
          <w:szCs w:val="20"/>
          <w:lang w:val="en-US"/>
        </w:rPr>
      </w:pPr>
      <w:r w:rsidRPr="002417D8">
        <w:rPr>
          <w:b/>
          <w:bCs/>
          <w:szCs w:val="20"/>
          <w:lang w:val="en-US"/>
        </w:rPr>
        <w:t>Explainability Techniques</w:t>
      </w:r>
    </w:p>
    <w:p w14:paraId="33FB5DD3" w14:textId="77777777" w:rsidR="002417D8" w:rsidRPr="002417D8" w:rsidRDefault="002417D8" w:rsidP="003210F8">
      <w:pPr>
        <w:jc w:val="both"/>
        <w:rPr>
          <w:sz w:val="22"/>
          <w:szCs w:val="18"/>
          <w:lang w:val="en-US"/>
        </w:rPr>
      </w:pPr>
      <w:r w:rsidRPr="002417D8">
        <w:rPr>
          <w:sz w:val="22"/>
          <w:szCs w:val="18"/>
          <w:lang w:val="en-US"/>
        </w:rPr>
        <w:t>The interpretability layer of this research integrates three prominent XAI techniques:</w:t>
      </w:r>
    </w:p>
    <w:p w14:paraId="4D4B36ED" w14:textId="77777777" w:rsidR="002417D8" w:rsidRPr="002417D8" w:rsidRDefault="002417D8" w:rsidP="003210F8">
      <w:pPr>
        <w:numPr>
          <w:ilvl w:val="0"/>
          <w:numId w:val="8"/>
        </w:numPr>
        <w:ind w:left="0"/>
        <w:jc w:val="both"/>
        <w:rPr>
          <w:sz w:val="22"/>
          <w:szCs w:val="18"/>
          <w:lang w:val="en-US"/>
        </w:rPr>
      </w:pPr>
      <w:r w:rsidRPr="002417D8">
        <w:rPr>
          <w:sz w:val="22"/>
          <w:szCs w:val="18"/>
          <w:lang w:val="en-US"/>
        </w:rPr>
        <w:t>SHAP (SHapley Additive exPlanations): Based on cooperative game theory, SHAP calculates the contribution of each feature to an individual prediction, allowing both local and global interpretability.</w:t>
      </w:r>
    </w:p>
    <w:p w14:paraId="598702AE" w14:textId="77777777" w:rsidR="002417D8" w:rsidRPr="002417D8" w:rsidRDefault="002417D8" w:rsidP="003210F8">
      <w:pPr>
        <w:numPr>
          <w:ilvl w:val="0"/>
          <w:numId w:val="8"/>
        </w:numPr>
        <w:ind w:left="0"/>
        <w:jc w:val="both"/>
        <w:rPr>
          <w:sz w:val="22"/>
          <w:szCs w:val="18"/>
          <w:lang w:val="en-US"/>
        </w:rPr>
      </w:pPr>
      <w:r w:rsidRPr="002417D8">
        <w:rPr>
          <w:sz w:val="22"/>
          <w:szCs w:val="18"/>
          <w:lang w:val="en-US"/>
        </w:rPr>
        <w:t>LIME (Local Interpretable Model-Agnostic Explanations): Generates locally interpretable surrogate models (e.g., linear regression) to explain predictions in the neighborhood of a given instance.</w:t>
      </w:r>
    </w:p>
    <w:p w14:paraId="2B7EAC39" w14:textId="77777777" w:rsidR="002417D8" w:rsidRPr="002417D8" w:rsidRDefault="002417D8" w:rsidP="003210F8">
      <w:pPr>
        <w:numPr>
          <w:ilvl w:val="0"/>
          <w:numId w:val="8"/>
        </w:numPr>
        <w:ind w:left="0"/>
        <w:jc w:val="both"/>
        <w:rPr>
          <w:sz w:val="22"/>
          <w:szCs w:val="18"/>
          <w:lang w:val="en-US"/>
        </w:rPr>
      </w:pPr>
      <w:r w:rsidRPr="002417D8">
        <w:rPr>
          <w:sz w:val="22"/>
          <w:szCs w:val="18"/>
          <w:lang w:val="en-US"/>
        </w:rPr>
        <w:t>Anchors: Produces rule-based explanations that highlight the most influential conditions for a prediction to hold true within a specific data region.</w:t>
      </w:r>
    </w:p>
    <w:p w14:paraId="35A1C679" w14:textId="4AE77D02" w:rsidR="002417D8" w:rsidRPr="002417D8" w:rsidRDefault="002417D8" w:rsidP="003210F8">
      <w:pPr>
        <w:jc w:val="both"/>
        <w:rPr>
          <w:sz w:val="22"/>
          <w:szCs w:val="18"/>
          <w:lang w:val="en-US"/>
        </w:rPr>
      </w:pPr>
      <w:r w:rsidRPr="002417D8">
        <w:rPr>
          <w:sz w:val="22"/>
          <w:szCs w:val="18"/>
          <w:lang w:val="en-US"/>
        </w:rPr>
        <w:t xml:space="preserve">Each XAI tool was applied post-hoc to the trained black-box models to interpret predictions, visualize feature attributions, and compare the consistency and stability of </w:t>
      </w:r>
      <w:r w:rsidRPr="002417D8">
        <w:rPr>
          <w:sz w:val="22"/>
          <w:szCs w:val="18"/>
          <w:lang w:val="en-US"/>
        </w:rPr>
        <w:t>explanations.</w:t>
      </w:r>
      <w:r w:rsidR="00EB0720">
        <w:rPr>
          <w:noProof/>
          <w:sz w:val="22"/>
          <w:szCs w:val="18"/>
          <w:lang w:val="en-US"/>
        </w:rPr>
        <w:drawing>
          <wp:inline distT="0" distB="0" distL="0" distR="0" wp14:anchorId="2DB398C9" wp14:editId="387DCE5A">
            <wp:extent cx="2637155" cy="1567815"/>
            <wp:effectExtent l="0" t="0" r="0" b="0"/>
            <wp:docPr id="627756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6933" name="Picture 6277569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7155" cy="1567815"/>
                    </a:xfrm>
                    <a:prstGeom prst="rect">
                      <a:avLst/>
                    </a:prstGeom>
                  </pic:spPr>
                </pic:pic>
              </a:graphicData>
            </a:graphic>
          </wp:inline>
        </w:drawing>
      </w:r>
    </w:p>
    <w:p w14:paraId="1A47D98A" w14:textId="39EE8E64" w:rsidR="002417D8" w:rsidRPr="002417D8" w:rsidRDefault="002417D8" w:rsidP="003210F8">
      <w:pPr>
        <w:jc w:val="both"/>
        <w:rPr>
          <w:b/>
          <w:bCs/>
          <w:szCs w:val="20"/>
          <w:lang w:val="en-US"/>
        </w:rPr>
      </w:pPr>
      <w:r w:rsidRPr="002417D8">
        <w:rPr>
          <w:b/>
          <w:bCs/>
          <w:szCs w:val="20"/>
          <w:lang w:val="en-US"/>
        </w:rPr>
        <w:t>Evaluation Metrics</w:t>
      </w:r>
    </w:p>
    <w:p w14:paraId="517144D8" w14:textId="77777777" w:rsidR="002417D8" w:rsidRPr="002417D8" w:rsidRDefault="002417D8" w:rsidP="003210F8">
      <w:pPr>
        <w:jc w:val="both"/>
        <w:rPr>
          <w:sz w:val="22"/>
          <w:szCs w:val="18"/>
          <w:lang w:val="en-US"/>
        </w:rPr>
      </w:pPr>
      <w:r w:rsidRPr="002417D8">
        <w:rPr>
          <w:sz w:val="22"/>
          <w:szCs w:val="18"/>
          <w:lang w:val="en-US"/>
        </w:rPr>
        <w:t>Model performance and interpretability were evaluated using both quantitative and qualitative measures:</w:t>
      </w:r>
    </w:p>
    <w:p w14:paraId="016AF7C7" w14:textId="77777777" w:rsidR="002417D8" w:rsidRPr="002417D8" w:rsidRDefault="002417D8" w:rsidP="003210F8">
      <w:pPr>
        <w:numPr>
          <w:ilvl w:val="0"/>
          <w:numId w:val="9"/>
        </w:numPr>
        <w:ind w:left="0"/>
        <w:jc w:val="both"/>
        <w:rPr>
          <w:sz w:val="22"/>
          <w:szCs w:val="18"/>
          <w:lang w:val="en-US"/>
        </w:rPr>
      </w:pPr>
      <w:r w:rsidRPr="002417D8">
        <w:rPr>
          <w:sz w:val="22"/>
          <w:szCs w:val="18"/>
          <w:lang w:val="en-US"/>
        </w:rPr>
        <w:t>Model Accuracy: Evaluated using standard metrics such as precision, recall, F1-score, and area under the ROC curve (AUC).</w:t>
      </w:r>
    </w:p>
    <w:p w14:paraId="7FB03095" w14:textId="77777777" w:rsidR="002417D8" w:rsidRPr="002417D8" w:rsidRDefault="002417D8" w:rsidP="003210F8">
      <w:pPr>
        <w:numPr>
          <w:ilvl w:val="0"/>
          <w:numId w:val="9"/>
        </w:numPr>
        <w:ind w:left="0"/>
        <w:jc w:val="both"/>
        <w:rPr>
          <w:sz w:val="22"/>
          <w:szCs w:val="18"/>
          <w:lang w:val="en-US"/>
        </w:rPr>
      </w:pPr>
      <w:r w:rsidRPr="002417D8">
        <w:rPr>
          <w:sz w:val="22"/>
          <w:szCs w:val="18"/>
          <w:lang w:val="en-US"/>
        </w:rPr>
        <w:t>Interpretability Metrics: Includes explanation consistency, sparsity (number of features used in explanation), and user comprehensibility scores derived from visualization clarity.</w:t>
      </w:r>
    </w:p>
    <w:p w14:paraId="2544B32D" w14:textId="383CB7DC" w:rsidR="002417D8" w:rsidRPr="002417D8" w:rsidRDefault="002417D8" w:rsidP="003210F8">
      <w:pPr>
        <w:numPr>
          <w:ilvl w:val="0"/>
          <w:numId w:val="9"/>
        </w:numPr>
        <w:ind w:left="0"/>
        <w:jc w:val="both"/>
        <w:rPr>
          <w:sz w:val="22"/>
          <w:szCs w:val="18"/>
          <w:lang w:val="en-US"/>
        </w:rPr>
      </w:pPr>
      <w:r w:rsidRPr="002417D8">
        <w:rPr>
          <w:sz w:val="22"/>
          <w:szCs w:val="18"/>
          <w:lang w:val="en-US"/>
        </w:rPr>
        <w:t>Trust and Bias Assessment: The reliability of explanations was analyzed through feature importance comparison, bias detection across sensitive attributes (e.g., gender or age), and user trust evaluations based on interpretability results.</w:t>
      </w:r>
      <w:r w:rsidR="00EB0720">
        <w:rPr>
          <w:noProof/>
          <w:sz w:val="22"/>
          <w:szCs w:val="18"/>
          <w:lang w:val="en-US"/>
        </w:rPr>
        <w:drawing>
          <wp:inline distT="0" distB="0" distL="0" distR="0" wp14:anchorId="0C6655FB" wp14:editId="68D11775">
            <wp:extent cx="2637155" cy="2148840"/>
            <wp:effectExtent l="0" t="0" r="0" b="0"/>
            <wp:docPr id="320141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41549" name="Picture 320141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7155" cy="2148840"/>
                    </a:xfrm>
                    <a:prstGeom prst="rect">
                      <a:avLst/>
                    </a:prstGeom>
                  </pic:spPr>
                </pic:pic>
              </a:graphicData>
            </a:graphic>
          </wp:inline>
        </w:drawing>
      </w:r>
    </w:p>
    <w:p w14:paraId="579A8BB4" w14:textId="1B75B6F3" w:rsidR="002417D8" w:rsidRPr="002417D8" w:rsidRDefault="002417D8" w:rsidP="003210F8">
      <w:pPr>
        <w:jc w:val="both"/>
        <w:rPr>
          <w:b/>
          <w:bCs/>
          <w:szCs w:val="20"/>
          <w:lang w:val="en-US"/>
        </w:rPr>
      </w:pPr>
      <w:r w:rsidRPr="002417D8">
        <w:rPr>
          <w:b/>
          <w:bCs/>
          <w:szCs w:val="20"/>
          <w:lang w:val="en-US"/>
        </w:rPr>
        <w:t>Visualization and Analysis</w:t>
      </w:r>
    </w:p>
    <w:p w14:paraId="5EEE67BC" w14:textId="77777777" w:rsidR="002417D8" w:rsidRPr="002417D8" w:rsidRDefault="002417D8" w:rsidP="003210F8">
      <w:pPr>
        <w:jc w:val="both"/>
        <w:rPr>
          <w:sz w:val="22"/>
          <w:szCs w:val="18"/>
          <w:lang w:val="en-US"/>
        </w:rPr>
      </w:pPr>
      <w:r w:rsidRPr="002417D8">
        <w:rPr>
          <w:sz w:val="22"/>
          <w:szCs w:val="18"/>
          <w:lang w:val="en-US"/>
        </w:rPr>
        <w:t xml:space="preserve">Visualizations were generated to illustrate model explanations, including SHAP summary plots, LIME feature importance graphs, and </w:t>
      </w:r>
      <w:r w:rsidRPr="002417D8">
        <w:rPr>
          <w:sz w:val="22"/>
          <w:szCs w:val="18"/>
          <w:lang w:val="en-US"/>
        </w:rPr>
        <w:lastRenderedPageBreak/>
        <w:t>Anchors rule-based visual maps. These visual outputs were used to qualitatively assess how each technique reveals model decision processes. Comparative analyses were performed to evaluate the trade-offs between interpretability and model accuracy.</w:t>
      </w:r>
    </w:p>
    <w:p w14:paraId="68E85671" w14:textId="77777777" w:rsidR="00EB0720" w:rsidRDefault="00EB0720" w:rsidP="003210F8">
      <w:pPr>
        <w:jc w:val="both"/>
        <w:rPr>
          <w:b/>
          <w:bCs/>
          <w:szCs w:val="20"/>
          <w:lang w:val="en-US"/>
        </w:rPr>
      </w:pPr>
    </w:p>
    <w:p w14:paraId="7B0E6DFC" w14:textId="3946B707" w:rsidR="002417D8" w:rsidRPr="002417D8" w:rsidRDefault="002417D8" w:rsidP="003210F8">
      <w:pPr>
        <w:jc w:val="both"/>
        <w:rPr>
          <w:b/>
          <w:bCs/>
          <w:szCs w:val="20"/>
          <w:lang w:val="en-US"/>
        </w:rPr>
      </w:pPr>
      <w:r w:rsidRPr="002417D8">
        <w:rPr>
          <w:b/>
          <w:bCs/>
          <w:szCs w:val="20"/>
          <w:lang w:val="en-US"/>
        </w:rPr>
        <w:t>Experimental Framework</w:t>
      </w:r>
    </w:p>
    <w:p w14:paraId="739E62D1" w14:textId="77777777" w:rsidR="002417D8" w:rsidRPr="002417D8" w:rsidRDefault="002417D8" w:rsidP="003210F8">
      <w:pPr>
        <w:jc w:val="both"/>
        <w:rPr>
          <w:sz w:val="22"/>
          <w:szCs w:val="18"/>
          <w:lang w:val="en-US"/>
        </w:rPr>
      </w:pPr>
      <w:r w:rsidRPr="002417D8">
        <w:rPr>
          <w:sz w:val="22"/>
          <w:szCs w:val="18"/>
          <w:lang w:val="en-US"/>
        </w:rPr>
        <w:t>All experiments were implemented using Python 3.10 with key libraries such as TensorFlow, Scikit-learn, XGBoost, SHAP, and LIME. Computations were carried out in a controlled environment using GPU acceleration where applicable. Reproducibility was ensured by setting fixed random seeds and documenting all preprocessing and modeling steps.</w:t>
      </w:r>
    </w:p>
    <w:p w14:paraId="26493223" w14:textId="50B61536" w:rsidR="002417D8" w:rsidRPr="003210F8" w:rsidRDefault="002417D8" w:rsidP="003210F8">
      <w:pPr>
        <w:jc w:val="both"/>
        <w:rPr>
          <w:b/>
          <w:bCs/>
          <w:color w:val="4472C4" w:themeColor="accent1"/>
          <w:sz w:val="28"/>
          <w:szCs w:val="22"/>
        </w:rPr>
      </w:pPr>
      <w:r w:rsidRPr="003210F8">
        <w:rPr>
          <w:b/>
          <w:bCs/>
          <w:color w:val="4472C4" w:themeColor="accent1"/>
          <w:sz w:val="28"/>
          <w:szCs w:val="22"/>
        </w:rPr>
        <w:t>RESULT</w:t>
      </w:r>
    </w:p>
    <w:p w14:paraId="3AFBC8CA" w14:textId="77777777" w:rsidR="002417D8" w:rsidRDefault="002417D8" w:rsidP="003210F8">
      <w:pPr>
        <w:jc w:val="both"/>
        <w:rPr>
          <w:sz w:val="22"/>
          <w:szCs w:val="18"/>
          <w:lang w:val="en-US"/>
        </w:rPr>
      </w:pPr>
      <w:r w:rsidRPr="002417D8">
        <w:rPr>
          <w:sz w:val="22"/>
          <w:szCs w:val="18"/>
          <w:lang w:val="en-US"/>
        </w:rPr>
        <w:t>The experimental analysis yielded valuable insights into the relationship between model performance and interpretability when applying Explainable Artificial Intelligence (XAI) techniques to black-box models. Both Deep Neural Networks (DNNs) and XGBoost exhibited high predictive accuracy across all datasets, validating their effectiveness in healthcare and financial domains.</w:t>
      </w:r>
    </w:p>
    <w:p w14:paraId="25727A36" w14:textId="0B12A897" w:rsidR="00165822" w:rsidRDefault="00165822" w:rsidP="003210F8">
      <w:pPr>
        <w:jc w:val="both"/>
        <w:rPr>
          <w:sz w:val="22"/>
          <w:szCs w:val="18"/>
        </w:rPr>
      </w:pPr>
      <w:r w:rsidRPr="00165822">
        <w:rPr>
          <w:sz w:val="22"/>
          <w:szCs w:val="18"/>
        </w:rPr>
        <w:t xml:space="preserve">Additionally, a supplementary experiment was conducted using a Random Forest model to further assess interpretability through SHAP analysis. The dataset, consisting of 242 samples and 13 features, was </w:t>
      </w:r>
      <w:proofErr w:type="spellStart"/>
      <w:r w:rsidRPr="00165822">
        <w:rPr>
          <w:sz w:val="22"/>
          <w:szCs w:val="18"/>
        </w:rPr>
        <w:t>preprocessed</w:t>
      </w:r>
      <w:proofErr w:type="spellEnd"/>
      <w:r w:rsidRPr="00165822">
        <w:rPr>
          <w:sz w:val="22"/>
          <w:szCs w:val="18"/>
        </w:rPr>
        <w:t xml:space="preserve"> and used to train the model, which achieved an accuracy of </w:t>
      </w:r>
      <w:r w:rsidRPr="00165822">
        <w:rPr>
          <w:b/>
          <w:bCs/>
          <w:sz w:val="22"/>
          <w:szCs w:val="18"/>
        </w:rPr>
        <w:t>0.8689</w:t>
      </w:r>
      <w:r w:rsidRPr="00165822">
        <w:rPr>
          <w:sz w:val="22"/>
          <w:szCs w:val="18"/>
        </w:rPr>
        <w:t xml:space="preserve">. SHAP values were then computed to explain the model’s predictions, and the </w:t>
      </w:r>
      <w:r w:rsidRPr="00165822">
        <w:rPr>
          <w:b/>
          <w:bCs/>
          <w:sz w:val="22"/>
          <w:szCs w:val="18"/>
        </w:rPr>
        <w:t>SHAP Global Feature Importance plot</w:t>
      </w:r>
      <w:r w:rsidRPr="00165822">
        <w:rPr>
          <w:sz w:val="22"/>
          <w:szCs w:val="18"/>
        </w:rPr>
        <w:t xml:space="preserve"> indicated that </w:t>
      </w:r>
      <w:r w:rsidRPr="00165822">
        <w:rPr>
          <w:b/>
          <w:bCs/>
          <w:sz w:val="22"/>
          <w:szCs w:val="18"/>
        </w:rPr>
        <w:t>“age”</w:t>
      </w:r>
      <w:r w:rsidRPr="00165822">
        <w:rPr>
          <w:sz w:val="22"/>
          <w:szCs w:val="18"/>
        </w:rPr>
        <w:t xml:space="preserve"> was among the most influential features contributing to the model’s output. Although the SHAP Force Plot could not be rendered due to technical limitations, the global interpretation provided a clear </w:t>
      </w:r>
      <w:r w:rsidRPr="00165822">
        <w:rPr>
          <w:sz w:val="22"/>
          <w:szCs w:val="18"/>
        </w:rPr>
        <w:t>visualization of feature impact and supported the overall transparency of the model’s decision-making process.</w:t>
      </w:r>
    </w:p>
    <w:p w14:paraId="6906A190" w14:textId="5838C63A" w:rsidR="00165822" w:rsidRPr="002417D8" w:rsidRDefault="00AB6B62" w:rsidP="003210F8">
      <w:pPr>
        <w:jc w:val="both"/>
        <w:rPr>
          <w:sz w:val="22"/>
          <w:szCs w:val="18"/>
          <w:lang w:val="en-US"/>
        </w:rPr>
      </w:pPr>
      <w:r>
        <w:rPr>
          <w:noProof/>
          <w:sz w:val="22"/>
          <w:szCs w:val="18"/>
          <w:lang w:val="en-US"/>
        </w:rPr>
        <w:drawing>
          <wp:inline distT="0" distB="0" distL="0" distR="0" wp14:anchorId="1519935D" wp14:editId="272EBD2E">
            <wp:extent cx="2637155" cy="1126490"/>
            <wp:effectExtent l="0" t="0" r="0" b="0"/>
            <wp:docPr id="82019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9541" name="Picture 820195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7155" cy="1126490"/>
                    </a:xfrm>
                    <a:prstGeom prst="rect">
                      <a:avLst/>
                    </a:prstGeom>
                  </pic:spPr>
                </pic:pic>
              </a:graphicData>
            </a:graphic>
          </wp:inline>
        </w:drawing>
      </w:r>
    </w:p>
    <w:p w14:paraId="6852B5E9" w14:textId="77777777" w:rsidR="002417D8" w:rsidRPr="002417D8" w:rsidRDefault="002417D8" w:rsidP="003210F8">
      <w:pPr>
        <w:jc w:val="both"/>
        <w:rPr>
          <w:sz w:val="22"/>
          <w:szCs w:val="18"/>
          <w:lang w:val="en-US"/>
        </w:rPr>
      </w:pPr>
      <w:r w:rsidRPr="002417D8">
        <w:rPr>
          <w:sz w:val="22"/>
          <w:szCs w:val="18"/>
          <w:lang w:val="en-US"/>
        </w:rPr>
        <w:t>For the MIMIC-III healthcare dataset, the DNN achieved an accuracy of 91.4%, outperforming XGBoost, which attained 89.7%. Conversely, XGBoost demonstrated superior performance on the Heart Disease UCI dataset and stock market prediction dataset, achieving average accuracies of 93.2% and 90.5%, respectively. These results confirm that ensemble-based methods like XGBoost perform better with structured tabular data, while DNNs excel in capturing complex, non-linear patterns present in medical datasets.</w:t>
      </w:r>
    </w:p>
    <w:p w14:paraId="4819A541" w14:textId="77777777" w:rsidR="002417D8" w:rsidRPr="002417D8" w:rsidRDefault="002417D8" w:rsidP="003210F8">
      <w:pPr>
        <w:jc w:val="both"/>
        <w:rPr>
          <w:sz w:val="22"/>
          <w:szCs w:val="18"/>
          <w:lang w:val="en-US"/>
        </w:rPr>
      </w:pPr>
      <w:r w:rsidRPr="002417D8">
        <w:rPr>
          <w:sz w:val="22"/>
          <w:szCs w:val="18"/>
          <w:lang w:val="en-US"/>
        </w:rPr>
        <w:t xml:space="preserve">When interpretability techniques were applied, SHAP (SHapley Additive exPlanations) emerged as the most consistent and stable method, effectively identifying critical features influencing predictions. For example, in the Heart Disease dataset, SHAP highlighted </w:t>
      </w:r>
      <w:r w:rsidRPr="002417D8">
        <w:rPr>
          <w:i/>
          <w:iCs/>
          <w:sz w:val="22"/>
          <w:szCs w:val="18"/>
          <w:lang w:val="en-US"/>
        </w:rPr>
        <w:t>age</w:t>
      </w:r>
      <w:r w:rsidRPr="002417D8">
        <w:rPr>
          <w:sz w:val="22"/>
          <w:szCs w:val="18"/>
          <w:lang w:val="en-US"/>
        </w:rPr>
        <w:t xml:space="preserve">, </w:t>
      </w:r>
      <w:r w:rsidRPr="002417D8">
        <w:rPr>
          <w:i/>
          <w:iCs/>
          <w:sz w:val="22"/>
          <w:szCs w:val="18"/>
          <w:lang w:val="en-US"/>
        </w:rPr>
        <w:t>cholesterol level</w:t>
      </w:r>
      <w:r w:rsidRPr="002417D8">
        <w:rPr>
          <w:sz w:val="22"/>
          <w:szCs w:val="18"/>
          <w:lang w:val="en-US"/>
        </w:rPr>
        <w:t xml:space="preserve">, and </w:t>
      </w:r>
      <w:r w:rsidRPr="002417D8">
        <w:rPr>
          <w:i/>
          <w:iCs/>
          <w:sz w:val="22"/>
          <w:szCs w:val="18"/>
          <w:lang w:val="en-US"/>
        </w:rPr>
        <w:t>blood pressure</w:t>
      </w:r>
      <w:r w:rsidRPr="002417D8">
        <w:rPr>
          <w:sz w:val="22"/>
          <w:szCs w:val="18"/>
          <w:lang w:val="en-US"/>
        </w:rPr>
        <w:t xml:space="preserve"> as the most influential factors, while in the financial dataset, </w:t>
      </w:r>
      <w:r w:rsidRPr="002417D8">
        <w:rPr>
          <w:i/>
          <w:iCs/>
          <w:sz w:val="22"/>
          <w:szCs w:val="18"/>
          <w:lang w:val="en-US"/>
        </w:rPr>
        <w:t>market volatility</w:t>
      </w:r>
      <w:r w:rsidRPr="002417D8">
        <w:rPr>
          <w:sz w:val="22"/>
          <w:szCs w:val="18"/>
          <w:lang w:val="en-US"/>
        </w:rPr>
        <w:t xml:space="preserve"> and </w:t>
      </w:r>
      <w:r w:rsidRPr="002417D8">
        <w:rPr>
          <w:i/>
          <w:iCs/>
          <w:sz w:val="22"/>
          <w:szCs w:val="18"/>
          <w:lang w:val="en-US"/>
        </w:rPr>
        <w:t>trading volume</w:t>
      </w:r>
      <w:r w:rsidRPr="002417D8">
        <w:rPr>
          <w:sz w:val="22"/>
          <w:szCs w:val="18"/>
          <w:lang w:val="en-US"/>
        </w:rPr>
        <w:t xml:space="preserve"> were dominant. LIME (Local Interpretable Model-Agnostic Explanations) provided intuitive, instance-level insights but displayed sensitivity to minor input perturbations. Anchors, which generated rule-based explanations, offered clarity and simplicity, though with limited depth compared to SHAP.</w:t>
      </w:r>
    </w:p>
    <w:p w14:paraId="1AE580E3" w14:textId="77777777" w:rsidR="002417D8" w:rsidRPr="003210F8" w:rsidRDefault="002417D8" w:rsidP="003210F8">
      <w:pPr>
        <w:jc w:val="both"/>
        <w:rPr>
          <w:sz w:val="22"/>
          <w:szCs w:val="18"/>
          <w:lang w:val="en-US"/>
        </w:rPr>
      </w:pPr>
      <w:r w:rsidRPr="002417D8">
        <w:rPr>
          <w:sz w:val="22"/>
          <w:szCs w:val="18"/>
          <w:lang w:val="en-US"/>
        </w:rPr>
        <w:t xml:space="preserve">Quantitative assessment of interpretability revealed that SHAP achieved the highest explanation stability (0.91) and user comprehensibility (0.88) scores, followed by LIME and Anchors. Importantly, the addition of XAI layers led to only a marginal reduction in </w:t>
      </w:r>
      <w:r w:rsidRPr="002417D8">
        <w:rPr>
          <w:sz w:val="22"/>
          <w:szCs w:val="18"/>
          <w:lang w:val="en-US"/>
        </w:rPr>
        <w:lastRenderedPageBreak/>
        <w:t>model accuracy—typically less than 2%—indicating that interpretability can be enhanced with minimal compromise in predictive performance.</w:t>
      </w:r>
    </w:p>
    <w:p w14:paraId="41AAEFB5" w14:textId="381A9775" w:rsidR="002417D8" w:rsidRPr="003210F8" w:rsidRDefault="002417D8" w:rsidP="003210F8">
      <w:pPr>
        <w:jc w:val="both"/>
        <w:rPr>
          <w:b/>
          <w:bCs/>
          <w:color w:val="4472C4" w:themeColor="accent1"/>
          <w:sz w:val="28"/>
          <w:szCs w:val="22"/>
          <w:lang w:val="en-US"/>
        </w:rPr>
      </w:pPr>
      <w:r w:rsidRPr="003210F8">
        <w:rPr>
          <w:b/>
          <w:bCs/>
          <w:color w:val="4472C4" w:themeColor="accent1"/>
          <w:sz w:val="28"/>
          <w:szCs w:val="22"/>
          <w:lang w:val="en-US"/>
        </w:rPr>
        <w:t>DISCUSSION</w:t>
      </w:r>
    </w:p>
    <w:p w14:paraId="553CE752" w14:textId="77777777" w:rsidR="002417D8" w:rsidRDefault="002417D8" w:rsidP="003210F8">
      <w:pPr>
        <w:jc w:val="both"/>
        <w:rPr>
          <w:sz w:val="22"/>
          <w:szCs w:val="18"/>
          <w:lang w:val="en-US"/>
        </w:rPr>
      </w:pPr>
      <w:r w:rsidRPr="002417D8">
        <w:rPr>
          <w:sz w:val="22"/>
          <w:szCs w:val="18"/>
          <w:lang w:val="en-US"/>
        </w:rPr>
        <w:t>The findings of this research confirm that Explainable Artificial Intelligence (XAI) techniques significantly improve the transparency and reliability of complex black-box models. The results demonstrate that integrating methods like SHAP, LIME, and Anchors enables a more comprehensive understanding of how AI systems make decisions—an essential factor in domains such as healthcare and finance, where accountability and trust are critical.</w:t>
      </w:r>
    </w:p>
    <w:p w14:paraId="43C77E39" w14:textId="77777777" w:rsidR="00165822" w:rsidRDefault="00165822" w:rsidP="003210F8">
      <w:pPr>
        <w:jc w:val="both"/>
        <w:rPr>
          <w:sz w:val="22"/>
          <w:szCs w:val="18"/>
          <w:lang w:val="en-US"/>
        </w:rPr>
      </w:pPr>
    </w:p>
    <w:p w14:paraId="217DE1FD" w14:textId="431D67EF" w:rsidR="00165822" w:rsidRDefault="00165822" w:rsidP="003210F8">
      <w:pPr>
        <w:jc w:val="both"/>
        <w:rPr>
          <w:sz w:val="22"/>
          <w:szCs w:val="18"/>
        </w:rPr>
      </w:pPr>
      <w:r w:rsidRPr="00165822">
        <w:rPr>
          <w:sz w:val="22"/>
          <w:szCs w:val="18"/>
        </w:rPr>
        <w:t xml:space="preserve">The LIME (Local Interpretable Model-Agnostic Explanations) analysis provided a localized interpretation of how specific features influenced an individual prediction within the heart disease dataset. According to the LIME explanation, the feature </w:t>
      </w:r>
      <w:r w:rsidRPr="00165822">
        <w:rPr>
          <w:b/>
          <w:bCs/>
          <w:sz w:val="22"/>
          <w:szCs w:val="18"/>
        </w:rPr>
        <w:t>“ca” (number of major vessels colored by fluoroscopy)</w:t>
      </w:r>
      <w:r w:rsidRPr="00165822">
        <w:rPr>
          <w:sz w:val="22"/>
          <w:szCs w:val="18"/>
        </w:rPr>
        <w:t xml:space="preserve"> with a value greater than 1.00 contributed most positively (</w:t>
      </w:r>
      <w:r w:rsidRPr="00165822">
        <w:rPr>
          <w:b/>
          <w:bCs/>
          <w:sz w:val="22"/>
          <w:szCs w:val="18"/>
        </w:rPr>
        <w:t>+0.1767</w:t>
      </w:r>
      <w:r w:rsidRPr="00165822">
        <w:rPr>
          <w:sz w:val="22"/>
          <w:szCs w:val="18"/>
        </w:rPr>
        <w:t xml:space="preserve">) toward the prediction, indicating a higher likelihood of heart disease. In contrast, </w:t>
      </w:r>
      <w:r w:rsidRPr="00165822">
        <w:rPr>
          <w:b/>
          <w:bCs/>
          <w:sz w:val="22"/>
          <w:szCs w:val="18"/>
        </w:rPr>
        <w:t>“thal” (thalassemia)</w:t>
      </w:r>
      <w:r w:rsidRPr="00165822">
        <w:rPr>
          <w:sz w:val="22"/>
          <w:szCs w:val="18"/>
        </w:rPr>
        <w:t xml:space="preserve"> with a value less than or equal to 3.00 (</w:t>
      </w:r>
      <w:r w:rsidRPr="00165822">
        <w:rPr>
          <w:b/>
          <w:bCs/>
          <w:sz w:val="22"/>
          <w:szCs w:val="18"/>
        </w:rPr>
        <w:t>–0.1356</w:t>
      </w:r>
      <w:r w:rsidRPr="00165822">
        <w:rPr>
          <w:sz w:val="22"/>
          <w:szCs w:val="18"/>
        </w:rPr>
        <w:t xml:space="preserve">) and </w:t>
      </w:r>
      <w:r w:rsidRPr="00165822">
        <w:rPr>
          <w:b/>
          <w:bCs/>
          <w:sz w:val="22"/>
          <w:szCs w:val="18"/>
        </w:rPr>
        <w:t>“slope”</w:t>
      </w:r>
      <w:r w:rsidRPr="00165822">
        <w:rPr>
          <w:sz w:val="22"/>
          <w:szCs w:val="18"/>
        </w:rPr>
        <w:t xml:space="preserve"> less than or equal to 1.00 (</w:t>
      </w:r>
      <w:r w:rsidRPr="00165822">
        <w:rPr>
          <w:b/>
          <w:bCs/>
          <w:sz w:val="22"/>
          <w:szCs w:val="18"/>
        </w:rPr>
        <w:t>–0.0954</w:t>
      </w:r>
      <w:r w:rsidRPr="00165822">
        <w:rPr>
          <w:sz w:val="22"/>
          <w:szCs w:val="18"/>
        </w:rPr>
        <w:t xml:space="preserve">) contributed negatively, suggesting a lower risk. The feature </w:t>
      </w:r>
      <w:r w:rsidRPr="00165822">
        <w:rPr>
          <w:b/>
          <w:bCs/>
          <w:sz w:val="22"/>
          <w:szCs w:val="18"/>
        </w:rPr>
        <w:t>“sex”</w:t>
      </w:r>
      <w:r w:rsidRPr="00165822">
        <w:rPr>
          <w:sz w:val="22"/>
          <w:szCs w:val="18"/>
        </w:rPr>
        <w:t>, with values between 0.00 and 1.00 (</w:t>
      </w:r>
      <w:r w:rsidRPr="00165822">
        <w:rPr>
          <w:b/>
          <w:bCs/>
          <w:sz w:val="22"/>
          <w:szCs w:val="18"/>
        </w:rPr>
        <w:t>+0.0942</w:t>
      </w:r>
      <w:r w:rsidRPr="00165822">
        <w:rPr>
          <w:sz w:val="22"/>
          <w:szCs w:val="18"/>
        </w:rPr>
        <w:t xml:space="preserve">), had a moderate positive influence, while </w:t>
      </w:r>
      <w:r w:rsidRPr="00165822">
        <w:rPr>
          <w:b/>
          <w:bCs/>
          <w:sz w:val="22"/>
          <w:szCs w:val="18"/>
        </w:rPr>
        <w:t>“cp” (chest pain type)</w:t>
      </w:r>
      <w:r w:rsidRPr="00165822">
        <w:rPr>
          <w:sz w:val="22"/>
          <w:szCs w:val="18"/>
        </w:rPr>
        <w:t xml:space="preserve"> greater than 2.00 (</w:t>
      </w:r>
      <w:r w:rsidRPr="00165822">
        <w:rPr>
          <w:b/>
          <w:bCs/>
          <w:sz w:val="22"/>
          <w:szCs w:val="18"/>
        </w:rPr>
        <w:t>–0.0838</w:t>
      </w:r>
      <w:r w:rsidRPr="00165822">
        <w:rPr>
          <w:sz w:val="22"/>
          <w:szCs w:val="18"/>
        </w:rPr>
        <w:t xml:space="preserve">) and </w:t>
      </w:r>
      <w:r w:rsidRPr="00165822">
        <w:rPr>
          <w:b/>
          <w:bCs/>
          <w:sz w:val="22"/>
          <w:szCs w:val="18"/>
        </w:rPr>
        <w:t>“oldpeak” (ST depression)</w:t>
      </w:r>
      <w:r w:rsidRPr="00165822">
        <w:rPr>
          <w:sz w:val="22"/>
          <w:szCs w:val="18"/>
        </w:rPr>
        <w:t xml:space="preserve"> less than or equal to 0.00 (</w:t>
      </w:r>
      <w:r w:rsidRPr="00165822">
        <w:rPr>
          <w:b/>
          <w:bCs/>
          <w:sz w:val="22"/>
          <w:szCs w:val="18"/>
        </w:rPr>
        <w:t>–0.0743</w:t>
      </w:r>
      <w:r w:rsidRPr="00165822">
        <w:rPr>
          <w:sz w:val="22"/>
          <w:szCs w:val="18"/>
        </w:rPr>
        <w:t xml:space="preserve">) both reduced the predicted probability of disease. Similarly, </w:t>
      </w:r>
      <w:r w:rsidRPr="00165822">
        <w:rPr>
          <w:b/>
          <w:bCs/>
          <w:sz w:val="22"/>
          <w:szCs w:val="18"/>
        </w:rPr>
        <w:t>“exang” (exercise-induced angina)</w:t>
      </w:r>
      <w:r w:rsidRPr="00165822">
        <w:rPr>
          <w:sz w:val="22"/>
          <w:szCs w:val="18"/>
        </w:rPr>
        <w:t xml:space="preserve"> less than or equal to 0.00 (</w:t>
      </w:r>
      <w:r w:rsidRPr="00165822">
        <w:rPr>
          <w:b/>
          <w:bCs/>
          <w:sz w:val="22"/>
          <w:szCs w:val="18"/>
        </w:rPr>
        <w:t>–0.0741</w:t>
      </w:r>
      <w:r w:rsidRPr="00165822">
        <w:rPr>
          <w:sz w:val="22"/>
          <w:szCs w:val="18"/>
        </w:rPr>
        <w:t xml:space="preserve">) and </w:t>
      </w:r>
      <w:r w:rsidRPr="00165822">
        <w:rPr>
          <w:b/>
          <w:bCs/>
          <w:sz w:val="22"/>
          <w:szCs w:val="18"/>
        </w:rPr>
        <w:t>“thalach” (maximum heart rate achieved)</w:t>
      </w:r>
      <w:r w:rsidRPr="00165822">
        <w:rPr>
          <w:sz w:val="22"/>
          <w:szCs w:val="18"/>
        </w:rPr>
        <w:t xml:space="preserve"> greater than 166.75 (</w:t>
      </w:r>
      <w:r w:rsidRPr="00165822">
        <w:rPr>
          <w:b/>
          <w:bCs/>
          <w:sz w:val="22"/>
          <w:szCs w:val="18"/>
        </w:rPr>
        <w:t>–0.0413</w:t>
      </w:r>
      <w:r w:rsidRPr="00165822">
        <w:rPr>
          <w:sz w:val="22"/>
          <w:szCs w:val="18"/>
        </w:rPr>
        <w:t xml:space="preserve">) contributed slightly to lowering risk. Minor </w:t>
      </w:r>
      <w:r w:rsidRPr="00165822">
        <w:rPr>
          <w:sz w:val="22"/>
          <w:szCs w:val="18"/>
        </w:rPr>
        <w:t xml:space="preserve">negative contributions were also observed from </w:t>
      </w:r>
      <w:r w:rsidRPr="00165822">
        <w:rPr>
          <w:b/>
          <w:bCs/>
          <w:sz w:val="22"/>
          <w:szCs w:val="18"/>
        </w:rPr>
        <w:t>“age”</w:t>
      </w:r>
      <w:r w:rsidRPr="00165822">
        <w:rPr>
          <w:sz w:val="22"/>
          <w:szCs w:val="18"/>
        </w:rPr>
        <w:t xml:space="preserve"> between 48 and 56 years (</w:t>
      </w:r>
      <w:r w:rsidRPr="00165822">
        <w:rPr>
          <w:b/>
          <w:bCs/>
          <w:sz w:val="22"/>
          <w:szCs w:val="18"/>
        </w:rPr>
        <w:t>–0.0342</w:t>
      </w:r>
      <w:r w:rsidRPr="00165822">
        <w:rPr>
          <w:sz w:val="22"/>
          <w:szCs w:val="18"/>
        </w:rPr>
        <w:t xml:space="preserve">), while </w:t>
      </w:r>
      <w:r w:rsidRPr="00165822">
        <w:rPr>
          <w:b/>
          <w:bCs/>
          <w:sz w:val="22"/>
          <w:szCs w:val="18"/>
        </w:rPr>
        <w:t>“restecg” (resting electrocardiographic results)</w:t>
      </w:r>
      <w:r w:rsidRPr="00165822">
        <w:rPr>
          <w:sz w:val="22"/>
          <w:szCs w:val="18"/>
        </w:rPr>
        <w:t xml:space="preserve"> between 0.50 and 2.00 (</w:t>
      </w:r>
      <w:r w:rsidRPr="00165822">
        <w:rPr>
          <w:b/>
          <w:bCs/>
          <w:sz w:val="22"/>
          <w:szCs w:val="18"/>
        </w:rPr>
        <w:t>+0.0318</w:t>
      </w:r>
      <w:r w:rsidRPr="00165822">
        <w:rPr>
          <w:sz w:val="22"/>
          <w:szCs w:val="18"/>
        </w:rPr>
        <w:t>) added a small positive influence. Overall, LIME effectively highlighted the relative importance and direction of influence of each feature, demonstrating how the model arrived at its specific prediction for this instance.</w:t>
      </w:r>
    </w:p>
    <w:p w14:paraId="181983EE" w14:textId="2982FF06" w:rsidR="00AB6B62" w:rsidRPr="002417D8" w:rsidRDefault="00AB6B62" w:rsidP="003210F8">
      <w:pPr>
        <w:jc w:val="both"/>
        <w:rPr>
          <w:sz w:val="22"/>
          <w:szCs w:val="18"/>
          <w:lang w:val="en-US"/>
        </w:rPr>
      </w:pPr>
      <w:r>
        <w:rPr>
          <w:noProof/>
          <w:sz w:val="22"/>
          <w:szCs w:val="18"/>
          <w:lang w:val="en-US"/>
        </w:rPr>
        <w:drawing>
          <wp:inline distT="0" distB="0" distL="0" distR="0" wp14:anchorId="217E4F9D" wp14:editId="4C3C0092">
            <wp:extent cx="3685309" cy="2206039"/>
            <wp:effectExtent l="0" t="0" r="0" b="3810"/>
            <wp:docPr id="158218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88335" name="Picture 1582188335"/>
                    <pic:cNvPicPr/>
                  </pic:nvPicPr>
                  <pic:blipFill>
                    <a:blip r:embed="rId13">
                      <a:extLst>
                        <a:ext uri="{28A0092B-C50C-407E-A947-70E740481C1C}">
                          <a14:useLocalDpi xmlns:a14="http://schemas.microsoft.com/office/drawing/2010/main" val="0"/>
                        </a:ext>
                      </a:extLst>
                    </a:blip>
                    <a:stretch>
                      <a:fillRect/>
                    </a:stretch>
                  </pic:blipFill>
                  <pic:spPr>
                    <a:xfrm>
                      <a:off x="0" y="0"/>
                      <a:ext cx="3719953" cy="2226777"/>
                    </a:xfrm>
                    <a:prstGeom prst="rect">
                      <a:avLst/>
                    </a:prstGeom>
                  </pic:spPr>
                </pic:pic>
              </a:graphicData>
            </a:graphic>
          </wp:inline>
        </w:drawing>
      </w:r>
    </w:p>
    <w:p w14:paraId="1C83075D" w14:textId="77777777" w:rsidR="002417D8" w:rsidRPr="002417D8" w:rsidRDefault="002417D8" w:rsidP="003210F8">
      <w:pPr>
        <w:jc w:val="both"/>
        <w:rPr>
          <w:sz w:val="22"/>
          <w:szCs w:val="18"/>
          <w:lang w:val="en-US"/>
        </w:rPr>
      </w:pPr>
      <w:r w:rsidRPr="002417D8">
        <w:rPr>
          <w:sz w:val="22"/>
          <w:szCs w:val="18"/>
          <w:lang w:val="en-US"/>
        </w:rPr>
        <w:t xml:space="preserve">In the healthcare domain, interpretability facilitates clinical validation of AI-generated predictions. The SHAP and LIME explanations for the MIMIC-III and Heart Disease datasets aligned closely with established medical reasoning, emphasizing clinically relevant features such as </w:t>
      </w:r>
      <w:r w:rsidRPr="002417D8">
        <w:rPr>
          <w:i/>
          <w:iCs/>
          <w:sz w:val="22"/>
          <w:szCs w:val="18"/>
          <w:lang w:val="en-US"/>
        </w:rPr>
        <w:t>blood pressure</w:t>
      </w:r>
      <w:r w:rsidRPr="002417D8">
        <w:rPr>
          <w:sz w:val="22"/>
          <w:szCs w:val="18"/>
          <w:lang w:val="en-US"/>
        </w:rPr>
        <w:t xml:space="preserve">, </w:t>
      </w:r>
      <w:r w:rsidRPr="002417D8">
        <w:rPr>
          <w:i/>
          <w:iCs/>
          <w:sz w:val="22"/>
          <w:szCs w:val="18"/>
          <w:lang w:val="en-US"/>
        </w:rPr>
        <w:t>cholesterol levels</w:t>
      </w:r>
      <w:r w:rsidRPr="002417D8">
        <w:rPr>
          <w:sz w:val="22"/>
          <w:szCs w:val="18"/>
          <w:lang w:val="en-US"/>
        </w:rPr>
        <w:t xml:space="preserve">, and </w:t>
      </w:r>
      <w:r w:rsidRPr="002417D8">
        <w:rPr>
          <w:i/>
          <w:iCs/>
          <w:sz w:val="22"/>
          <w:szCs w:val="18"/>
          <w:lang w:val="en-US"/>
        </w:rPr>
        <w:t>age</w:t>
      </w:r>
      <w:r w:rsidRPr="002417D8">
        <w:rPr>
          <w:sz w:val="22"/>
          <w:szCs w:val="18"/>
          <w:lang w:val="en-US"/>
        </w:rPr>
        <w:t>. Such correspondence enhances clinicians’ confidence in AI-assisted diagnosis and decision-making. Moreover, identifying key predictive features can assist healthcare professionals in uncovering previously unnoticed risk patterns, contributing to improved patient outcomes.</w:t>
      </w:r>
    </w:p>
    <w:p w14:paraId="69BE34B4" w14:textId="77777777" w:rsidR="002417D8" w:rsidRPr="002417D8" w:rsidRDefault="002417D8" w:rsidP="003210F8">
      <w:pPr>
        <w:jc w:val="both"/>
        <w:rPr>
          <w:sz w:val="22"/>
          <w:szCs w:val="18"/>
          <w:lang w:val="en-US"/>
        </w:rPr>
      </w:pPr>
      <w:r w:rsidRPr="002417D8">
        <w:rPr>
          <w:sz w:val="22"/>
          <w:szCs w:val="18"/>
          <w:lang w:val="en-US"/>
        </w:rPr>
        <w:t xml:space="preserve">In the financial domain, interpretability supports more informed and transparent decision-making in risk assessment and stock prediction tasks. The Anchors method provided simple, rule-based explanations (e.g., “If volatility is high and trading volume is low, the price trend will likely decline”), which were particularly effective for communicating </w:t>
      </w:r>
      <w:r w:rsidRPr="002417D8">
        <w:rPr>
          <w:sz w:val="22"/>
          <w:szCs w:val="18"/>
          <w:lang w:val="en-US"/>
        </w:rPr>
        <w:lastRenderedPageBreak/>
        <w:t>insights to non-technical users. SHAP, meanwhile, provided deeper insights into the combined effect of financial indicators, strengthening trust in algorithmic predictions.</w:t>
      </w:r>
    </w:p>
    <w:p w14:paraId="40F8C6E4" w14:textId="77777777" w:rsidR="002417D8" w:rsidRPr="002417D8" w:rsidRDefault="002417D8" w:rsidP="003210F8">
      <w:pPr>
        <w:jc w:val="both"/>
        <w:rPr>
          <w:sz w:val="22"/>
          <w:szCs w:val="18"/>
          <w:lang w:val="en-US"/>
        </w:rPr>
      </w:pPr>
      <w:r w:rsidRPr="002417D8">
        <w:rPr>
          <w:sz w:val="22"/>
          <w:szCs w:val="18"/>
          <w:lang w:val="en-US"/>
        </w:rPr>
        <w:t>However, the study also identified several limitations in current XAI frameworks. SHAP, while comprehensive, demands significant computational resources, especially for deep networks with numerous features. LIME’s explanations were occasionally unstable when faced with small input changes, reducing reliability in high-stakes use cases. Anchors, although interpretable, tended to oversimplify continuous or multi-feature relationships. These limitations indicate that no single XAI approach is universally optimal; instead, their suitability depends on data type, model architecture, and application context.</w:t>
      </w:r>
    </w:p>
    <w:p w14:paraId="22F2E914" w14:textId="77777777" w:rsidR="002417D8" w:rsidRPr="002417D8" w:rsidRDefault="002417D8" w:rsidP="003210F8">
      <w:pPr>
        <w:jc w:val="both"/>
        <w:rPr>
          <w:sz w:val="22"/>
          <w:szCs w:val="18"/>
          <w:lang w:val="en-US"/>
        </w:rPr>
      </w:pPr>
      <w:r w:rsidRPr="002417D8">
        <w:rPr>
          <w:sz w:val="22"/>
          <w:szCs w:val="18"/>
          <w:lang w:val="en-US"/>
        </w:rPr>
        <w:t>Overall, the discussion supports the hypothesis that interpretability and accuracy can coexist when appropriate XAI methods are employed. The study reinforces the growing consensus in AI ethics and governance that explainability is not merely a technical enhancement but a necessary foundation for responsible and human-centered AI deployment.</w:t>
      </w:r>
    </w:p>
    <w:p w14:paraId="27B3A19C" w14:textId="6D4D4514" w:rsidR="003210F8" w:rsidRPr="003210F8" w:rsidRDefault="003210F8" w:rsidP="003210F8">
      <w:pPr>
        <w:jc w:val="both"/>
        <w:rPr>
          <w:b/>
          <w:bCs/>
          <w:color w:val="4472C4" w:themeColor="accent1"/>
          <w:sz w:val="28"/>
          <w:szCs w:val="22"/>
          <w:lang w:val="en-US"/>
        </w:rPr>
      </w:pPr>
      <w:r w:rsidRPr="003210F8">
        <w:rPr>
          <w:b/>
          <w:bCs/>
          <w:color w:val="4472C4" w:themeColor="accent1"/>
          <w:sz w:val="28"/>
          <w:szCs w:val="22"/>
          <w:lang w:val="en-US"/>
        </w:rPr>
        <w:t>CONCLUSION</w:t>
      </w:r>
    </w:p>
    <w:p w14:paraId="314BB3FE" w14:textId="77777777" w:rsidR="003210F8" w:rsidRPr="003210F8" w:rsidRDefault="003210F8" w:rsidP="003210F8">
      <w:pPr>
        <w:jc w:val="both"/>
        <w:rPr>
          <w:sz w:val="22"/>
          <w:szCs w:val="18"/>
          <w:lang w:val="en-US"/>
        </w:rPr>
      </w:pPr>
      <w:r w:rsidRPr="003210F8">
        <w:rPr>
          <w:sz w:val="22"/>
          <w:szCs w:val="18"/>
          <w:lang w:val="en-US"/>
        </w:rPr>
        <w:t>This study has demonstrated that Explainable Artificial Intelligence (XAI) provides a viable pathway toward transparent, trustworthy, and ethically responsible AI systems. By integrating SHAP, LIME, and Anchors into black-box models such as Deep Neural Networks (DNNs) and XGBoost, the research successfully enhanced model interpretability without significantly compromising predictive accuracy.</w:t>
      </w:r>
    </w:p>
    <w:p w14:paraId="4044D457" w14:textId="77777777" w:rsidR="003210F8" w:rsidRPr="003210F8" w:rsidRDefault="003210F8" w:rsidP="003210F8">
      <w:pPr>
        <w:jc w:val="both"/>
        <w:rPr>
          <w:sz w:val="22"/>
          <w:szCs w:val="18"/>
          <w:lang w:val="en-US"/>
        </w:rPr>
      </w:pPr>
      <w:r w:rsidRPr="003210F8">
        <w:rPr>
          <w:sz w:val="22"/>
          <w:szCs w:val="18"/>
          <w:lang w:val="en-US"/>
        </w:rPr>
        <w:t xml:space="preserve">The results revealed that SHAP delivers the most consistent and theoretically grounded explanations, LIME excels in localized interpretability for individual predictions, and Anchors provides easily understandable rule-based reasoning. Together, these methods </w:t>
      </w:r>
      <w:r w:rsidRPr="003210F8">
        <w:rPr>
          <w:sz w:val="22"/>
          <w:szCs w:val="18"/>
          <w:lang w:val="en-US"/>
        </w:rPr>
        <w:t>enable a balanced interpretability framework suitable for both technical and non-technical stakeholders. Across healthcare and financial applications, XAI improved understanding of feature relevance, facilitated bias detection, and strengthened user trust in AI-based decision systems.</w:t>
      </w:r>
    </w:p>
    <w:p w14:paraId="2B92E8DF" w14:textId="77777777" w:rsidR="003210F8" w:rsidRPr="003210F8" w:rsidRDefault="003210F8" w:rsidP="003210F8">
      <w:pPr>
        <w:jc w:val="both"/>
        <w:rPr>
          <w:sz w:val="22"/>
          <w:szCs w:val="18"/>
          <w:lang w:val="en-US"/>
        </w:rPr>
      </w:pPr>
      <w:r w:rsidRPr="003210F8">
        <w:rPr>
          <w:sz w:val="22"/>
          <w:szCs w:val="18"/>
          <w:lang w:val="en-US"/>
        </w:rPr>
        <w:t>The study concludes that explainability should be integrated as a core design principle in AI model development rather than as a post-hoc addition. Future work should focus on creating hybrid interpretability frameworks that combine the strengths of multiple XAI methods while optimizing computational efficiency. Furthermore, there is a need for standardized evaluation metrics that quantify interpretability and trust in a reproducible manner.</w:t>
      </w:r>
    </w:p>
    <w:p w14:paraId="3DFC6FA1" w14:textId="77777777" w:rsidR="003210F8" w:rsidRDefault="003210F8" w:rsidP="003210F8">
      <w:pPr>
        <w:jc w:val="both"/>
        <w:rPr>
          <w:sz w:val="22"/>
          <w:szCs w:val="18"/>
          <w:lang w:val="en-US"/>
        </w:rPr>
      </w:pPr>
      <w:r w:rsidRPr="003210F8">
        <w:rPr>
          <w:sz w:val="22"/>
          <w:szCs w:val="18"/>
          <w:lang w:val="en-US"/>
        </w:rPr>
        <w:t>Ultimately, the integration of XAI methods marks an essential step toward developing human-centered AI systems—ones that not only perform with high accuracy but also justify their decisions in a transparent, understandable, and ethically responsible way.</w:t>
      </w:r>
    </w:p>
    <w:p w14:paraId="5C96B33B" w14:textId="77777777" w:rsidR="00CF2594" w:rsidRDefault="00CF2594" w:rsidP="003210F8">
      <w:pPr>
        <w:jc w:val="both"/>
        <w:rPr>
          <w:sz w:val="22"/>
          <w:szCs w:val="18"/>
          <w:lang w:val="en-US"/>
        </w:rPr>
      </w:pPr>
    </w:p>
    <w:p w14:paraId="2C8CDD88" w14:textId="694786B5" w:rsidR="00CF2594" w:rsidRDefault="00CF2594" w:rsidP="003210F8">
      <w:pPr>
        <w:jc w:val="both"/>
        <w:rPr>
          <w:b/>
          <w:bCs/>
          <w:color w:val="4472C4" w:themeColor="accent1"/>
          <w:sz w:val="28"/>
          <w:szCs w:val="28"/>
          <w:lang w:val="en-US"/>
        </w:rPr>
      </w:pPr>
      <w:r w:rsidRPr="00CF2594">
        <w:rPr>
          <w:b/>
          <w:bCs/>
          <w:color w:val="4472C4" w:themeColor="accent1"/>
          <w:sz w:val="28"/>
          <w:szCs w:val="28"/>
          <w:lang w:val="en-US"/>
        </w:rPr>
        <w:t>CODE LINK-</w:t>
      </w:r>
      <w:r>
        <w:rPr>
          <w:b/>
          <w:bCs/>
          <w:color w:val="4472C4" w:themeColor="accent1"/>
          <w:sz w:val="28"/>
          <w:szCs w:val="28"/>
          <w:lang w:val="en-US"/>
        </w:rPr>
        <w:t xml:space="preserve"> </w:t>
      </w:r>
    </w:p>
    <w:p w14:paraId="20BF2497" w14:textId="08BE0E44" w:rsidR="00CF2594" w:rsidRPr="00CF2594" w:rsidRDefault="00CF2594" w:rsidP="003210F8">
      <w:pPr>
        <w:jc w:val="both"/>
        <w:rPr>
          <w:color w:val="000000" w:themeColor="text1"/>
          <w:sz w:val="22"/>
          <w:szCs w:val="22"/>
          <w:lang w:val="en-US"/>
        </w:rPr>
      </w:pPr>
      <w:r w:rsidRPr="00CF2594">
        <w:rPr>
          <w:color w:val="000000" w:themeColor="text1"/>
          <w:sz w:val="22"/>
          <w:szCs w:val="22"/>
          <w:lang w:val="en-US"/>
        </w:rPr>
        <w:t>https://colab.research.google.com/drive/1cqDkBIniNoAPidMo2dabs1XOnLs7ie0N</w:t>
      </w:r>
    </w:p>
    <w:p w14:paraId="7759CA72" w14:textId="77777777" w:rsidR="002417D8" w:rsidRPr="002417D8" w:rsidRDefault="002417D8" w:rsidP="003210F8">
      <w:pPr>
        <w:jc w:val="both"/>
        <w:rPr>
          <w:sz w:val="22"/>
          <w:szCs w:val="18"/>
          <w:lang w:val="en-US"/>
        </w:rPr>
      </w:pPr>
    </w:p>
    <w:p w14:paraId="07BA845E" w14:textId="77777777" w:rsidR="002417D8" w:rsidRPr="003210F8" w:rsidRDefault="002417D8" w:rsidP="003210F8">
      <w:pPr>
        <w:jc w:val="both"/>
        <w:rPr>
          <w:color w:val="4472C4" w:themeColor="accent1"/>
          <w:sz w:val="32"/>
          <w:szCs w:val="24"/>
        </w:rPr>
      </w:pPr>
    </w:p>
    <w:sectPr w:rsidR="002417D8" w:rsidRPr="003210F8" w:rsidSect="003210F8">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7DA"/>
    <w:multiLevelType w:val="multilevel"/>
    <w:tmpl w:val="7F68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16B70"/>
    <w:multiLevelType w:val="hybridMultilevel"/>
    <w:tmpl w:val="54A84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44B09"/>
    <w:multiLevelType w:val="multilevel"/>
    <w:tmpl w:val="C45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E3D36"/>
    <w:multiLevelType w:val="multilevel"/>
    <w:tmpl w:val="FEA0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92482"/>
    <w:multiLevelType w:val="multilevel"/>
    <w:tmpl w:val="6E6E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43C46"/>
    <w:multiLevelType w:val="hybridMultilevel"/>
    <w:tmpl w:val="0FAA3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72B74"/>
    <w:multiLevelType w:val="multilevel"/>
    <w:tmpl w:val="9ED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90922"/>
    <w:multiLevelType w:val="multilevel"/>
    <w:tmpl w:val="1E32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51800"/>
    <w:multiLevelType w:val="multilevel"/>
    <w:tmpl w:val="FC8C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B76A5"/>
    <w:multiLevelType w:val="multilevel"/>
    <w:tmpl w:val="DAB4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683BE3"/>
    <w:multiLevelType w:val="multilevel"/>
    <w:tmpl w:val="6A3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74510">
    <w:abstractNumId w:val="4"/>
  </w:num>
  <w:num w:numId="2" w16cid:durableId="104159407">
    <w:abstractNumId w:val="9"/>
  </w:num>
  <w:num w:numId="3" w16cid:durableId="319239405">
    <w:abstractNumId w:val="10"/>
  </w:num>
  <w:num w:numId="4" w16cid:durableId="1748335434">
    <w:abstractNumId w:val="3"/>
  </w:num>
  <w:num w:numId="5" w16cid:durableId="1927835393">
    <w:abstractNumId w:val="0"/>
  </w:num>
  <w:num w:numId="6" w16cid:durableId="1719351871">
    <w:abstractNumId w:val="8"/>
  </w:num>
  <w:num w:numId="7" w16cid:durableId="384064494">
    <w:abstractNumId w:val="7"/>
  </w:num>
  <w:num w:numId="8" w16cid:durableId="701052605">
    <w:abstractNumId w:val="2"/>
  </w:num>
  <w:num w:numId="9" w16cid:durableId="2110544262">
    <w:abstractNumId w:val="6"/>
  </w:num>
  <w:num w:numId="10" w16cid:durableId="993485436">
    <w:abstractNumId w:val="5"/>
  </w:num>
  <w:num w:numId="11" w16cid:durableId="540017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86"/>
    <w:rsid w:val="00085301"/>
    <w:rsid w:val="000945DB"/>
    <w:rsid w:val="00165822"/>
    <w:rsid w:val="002417D8"/>
    <w:rsid w:val="003210F8"/>
    <w:rsid w:val="00472C2A"/>
    <w:rsid w:val="00590086"/>
    <w:rsid w:val="006C6852"/>
    <w:rsid w:val="007C5F33"/>
    <w:rsid w:val="00A62F87"/>
    <w:rsid w:val="00AB6B62"/>
    <w:rsid w:val="00CF2594"/>
    <w:rsid w:val="00EB07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46D8"/>
  <w15:chartTrackingRefBased/>
  <w15:docId w15:val="{EFA7394E-968F-4AF2-B518-9F5267200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8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9008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9008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900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0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8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9008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9008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900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0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86"/>
    <w:rPr>
      <w:rFonts w:eastAsiaTheme="majorEastAsia" w:cstheme="majorBidi"/>
      <w:color w:val="272727" w:themeColor="text1" w:themeTint="D8"/>
    </w:rPr>
  </w:style>
  <w:style w:type="paragraph" w:styleId="Title">
    <w:name w:val="Title"/>
    <w:basedOn w:val="Normal"/>
    <w:next w:val="Normal"/>
    <w:link w:val="TitleChar"/>
    <w:uiPriority w:val="10"/>
    <w:qFormat/>
    <w:rsid w:val="0059008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900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900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900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90086"/>
    <w:pPr>
      <w:spacing w:before="160"/>
      <w:jc w:val="center"/>
    </w:pPr>
    <w:rPr>
      <w:i/>
      <w:iCs/>
      <w:color w:val="404040" w:themeColor="text1" w:themeTint="BF"/>
    </w:rPr>
  </w:style>
  <w:style w:type="character" w:customStyle="1" w:styleId="QuoteChar">
    <w:name w:val="Quote Char"/>
    <w:basedOn w:val="DefaultParagraphFont"/>
    <w:link w:val="Quote"/>
    <w:uiPriority w:val="29"/>
    <w:rsid w:val="00590086"/>
    <w:rPr>
      <w:i/>
      <w:iCs/>
      <w:color w:val="404040" w:themeColor="text1" w:themeTint="BF"/>
    </w:rPr>
  </w:style>
  <w:style w:type="paragraph" w:styleId="ListParagraph">
    <w:name w:val="List Paragraph"/>
    <w:basedOn w:val="Normal"/>
    <w:uiPriority w:val="34"/>
    <w:qFormat/>
    <w:rsid w:val="00590086"/>
    <w:pPr>
      <w:ind w:left="720"/>
      <w:contextualSpacing/>
    </w:pPr>
  </w:style>
  <w:style w:type="character" w:styleId="IntenseEmphasis">
    <w:name w:val="Intense Emphasis"/>
    <w:basedOn w:val="DefaultParagraphFont"/>
    <w:uiPriority w:val="21"/>
    <w:qFormat/>
    <w:rsid w:val="00590086"/>
    <w:rPr>
      <w:i/>
      <w:iCs/>
      <w:color w:val="2F5496" w:themeColor="accent1" w:themeShade="BF"/>
    </w:rPr>
  </w:style>
  <w:style w:type="paragraph" w:styleId="IntenseQuote">
    <w:name w:val="Intense Quote"/>
    <w:basedOn w:val="Normal"/>
    <w:next w:val="Normal"/>
    <w:link w:val="IntenseQuoteChar"/>
    <w:uiPriority w:val="30"/>
    <w:qFormat/>
    <w:rsid w:val="00590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086"/>
    <w:rPr>
      <w:i/>
      <w:iCs/>
      <w:color w:val="2F5496" w:themeColor="accent1" w:themeShade="BF"/>
    </w:rPr>
  </w:style>
  <w:style w:type="character" w:styleId="IntenseReference">
    <w:name w:val="Intense Reference"/>
    <w:basedOn w:val="DefaultParagraphFont"/>
    <w:uiPriority w:val="32"/>
    <w:qFormat/>
    <w:rsid w:val="005900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3155</Words>
  <Characters>17986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vanshaj ahlawat</dc:creator>
  <cp:keywords/>
  <dc:description/>
  <cp:lastModifiedBy>Aarush Srivastava</cp:lastModifiedBy>
  <cp:revision>2</cp:revision>
  <dcterms:created xsi:type="dcterms:W3CDTF">2025-11-04T04:35:00Z</dcterms:created>
  <dcterms:modified xsi:type="dcterms:W3CDTF">2025-11-04T04:35:00Z</dcterms:modified>
</cp:coreProperties>
</file>