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E-Commerce Order Analytics System</w:t>
      </w:r>
    </w:p>
    <w:p>
      <w:pPr>
        <w:jc w:val="center"/>
      </w:pPr>
      <w:r>
        <w:rPr>
          <w:i/>
          <w:sz w:val="28"/>
        </w:rPr>
        <w:t>Project Implementation &amp; Execution Report</w:t>
      </w:r>
    </w:p>
    <w:p>
      <w:r>
        <w:br/>
      </w:r>
    </w:p>
    <w:p>
      <w:r>
        <w:rPr>
          <w:b/>
          <w:sz w:val="32"/>
        </w:rPr>
        <w:t>Step 1: Mock Data Generation</w:t>
      </w:r>
    </w:p>
    <w:p>
      <w:r>
        <w:rPr>
          <w:sz w:val="22"/>
        </w:rPr>
        <w:t>We run 'generate_data.py' to generate raw customer, product, order, and order item CSV files with simulated data anomalies.</w:t>
      </w:r>
    </w:p>
    <w:p>
      <w:r>
        <w:drawing>
          <wp:inline xmlns:a="http://schemas.openxmlformats.org/drawingml/2006/main" xmlns:pic="http://schemas.openxmlformats.org/drawingml/2006/picture">
            <wp:extent cx="5669280" cy="1023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6684598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b/>
          <w:sz w:val="32"/>
        </w:rPr>
        <w:t>Step 2: Programmatic Data Cleaning</w:t>
      </w:r>
    </w:p>
    <w:p>
      <w:r>
        <w:rPr>
          <w:sz w:val="22"/>
        </w:rPr>
        <w:t>We clean the raw CSV files using Pandas, standardizing formats, and validating relational constraints.</w:t>
      </w:r>
    </w:p>
    <w:p>
      <w:r>
        <w:drawing>
          <wp:inline xmlns:a="http://schemas.openxmlformats.org/drawingml/2006/main" xmlns:pic="http://schemas.openxmlformats.org/drawingml/2006/picture">
            <wp:extent cx="5669280" cy="4528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6684424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2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b/>
          <w:sz w:val="32"/>
        </w:rPr>
        <w:t>Step 3: Edge Case Testing and Ingestion</w:t>
      </w:r>
    </w:p>
    <w:p>
      <w:r>
        <w:rPr>
          <w:sz w:val="22"/>
        </w:rPr>
        <w:t>We verify validation rules using unit tests, deploy the database schema in SQLite, and import the cleaned datasets.</w:t>
      </w:r>
    </w:p>
    <w:p>
      <w:r>
        <w:drawing>
          <wp:inline xmlns:a="http://schemas.openxmlformats.org/drawingml/2006/main" xmlns:pic="http://schemas.openxmlformats.org/drawingml/2006/picture">
            <wp:extent cx="5669280" cy="4304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6684599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4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b/>
          <w:sz w:val="32"/>
        </w:rPr>
        <w:t>Step 4: Execute SQL Aggregations &amp; Joins</w:t>
      </w:r>
    </w:p>
    <w:p>
      <w:r>
        <w:rPr>
          <w:sz w:val="22"/>
        </w:rPr>
        <w:t>We run basic and intermediate SQL queries to analyze category revenues, top customers, order volumes, and return rates.</w:t>
      </w:r>
    </w:p>
    <w:p>
      <w:r>
        <w:drawing>
          <wp:inline xmlns:a="http://schemas.openxmlformats.org/drawingml/2006/main" xmlns:pic="http://schemas.openxmlformats.org/drawingml/2006/picture">
            <wp:extent cx="5669280" cy="5458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6684598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58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b/>
          <w:sz w:val="32"/>
        </w:rPr>
        <w:t>Step 5: Execute SQL Window Functions &amp; CTEs</w:t>
      </w:r>
    </w:p>
    <w:p>
      <w:r>
        <w:rPr>
          <w:sz w:val="22"/>
        </w:rPr>
        <w:t>We run advanced SQL window functions and multi-level CTEs to analyze product rankings, spend gaps, and cohort metrics.</w:t>
      </w:r>
    </w:p>
    <w:p>
      <w:r>
        <w:drawing>
          <wp:inline xmlns:a="http://schemas.openxmlformats.org/drawingml/2006/main" xmlns:pic="http://schemas.openxmlformats.org/drawingml/2006/picture">
            <wp:extent cx="5669280" cy="42725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6684173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