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before="0"/>
        <w:jc w:val="center"/>
      </w:pPr>
      <w:r>
        <w:rPr>
          <w:rFonts w:ascii="Times New Roman" w:hAnsi="Times New Roman" w:cs="Times New Roman" w:eastAsia="Times New Roman"/>
          <w:b/>
          <w:i w:val="0"/>
          <w:sz w:val="28"/>
        </w:rPr>
        <w:t>BCSE497J - Project-I</w:t>
      </w:r>
    </w:p>
    <w:p>
      <w:pPr>
        <w:spacing w:line="360" w:lineRule="auto" w:after="440" w:before="0"/>
        <w:jc w:val="center"/>
      </w:pPr>
      <w:r>
        <w:rPr>
          <w:rFonts w:ascii="Times New Roman" w:hAnsi="Times New Roman" w:cs="Times New Roman" w:eastAsia="Times New Roman"/>
          <w:b/>
          <w:i w:val="0"/>
          <w:sz w:val="32"/>
        </w:rPr>
        <w:t>AGENT SECOPS: AN AI-DRIVEN SECOPS AGENT FOR CAF/WAF-ALIGNED INFRASTRUCTURE-AS-CODE PIPELINES</w:t>
      </w:r>
    </w:p>
    <w:p>
      <w:pPr>
        <w:spacing w:line="360" w:lineRule="auto" w:after="200" w:before="0"/>
        <w:jc w:val="center"/>
      </w:pPr>
      <w:r>
        <w:rPr>
          <w:rFonts w:ascii="Times New Roman" w:hAnsi="Times New Roman" w:cs="Times New Roman" w:eastAsia="Times New Roman"/>
          <w:b w:val="0"/>
          <w:i w:val="0"/>
          <w:sz w:val="26"/>
        </w:rPr>
        <w:t>By</w:t>
      </w:r>
    </w:p>
    <w:tbl>
      <w:tblPr>
        <w:tblW w:type="auto" w:w="0"/>
        <w:jc w:val="center"/>
        <w:tblLook w:firstColumn="1" w:firstRow="1" w:lastColumn="0" w:lastRow="0" w:noHBand="0" w:noVBand="1" w:val="04A0"/>
      </w:tblPr>
      <w:tblGrid>
        <w:gridCol w:w="4500"/>
        <w:gridCol w:w="4500"/>
      </w:tblGrid>
      <w:tr>
        <w:tc>
          <w:tcPr>
            <w:tcW w:type="dxa" w:w="2304"/>
          </w:tcPr>
          <w:p>
            <w:pPr>
              <w:spacing w:after="60" w:line="360" w:lineRule="auto"/>
            </w:pPr>
            <w:r/>
            <w:r>
              <w:rPr>
                <w:rFonts w:ascii="Times New Roman" w:hAnsi="Times New Roman" w:cs="Times New Roman" w:eastAsia="Times New Roman"/>
                <w:b/>
                <w:i w:val="0"/>
                <w:sz w:val="26"/>
              </w:rPr>
              <w:t>23BCE0196</w:t>
            </w:r>
          </w:p>
        </w:tc>
        <w:tc>
          <w:tcPr>
            <w:tcW w:type="dxa" w:w="3744"/>
          </w:tcPr>
          <w:p>
            <w:pPr>
              <w:spacing w:after="60" w:line="360" w:lineRule="auto"/>
              <w:jc w:val="center"/>
            </w:pPr>
            <w:r/>
            <w:r>
              <w:rPr>
                <w:rFonts w:ascii="Times New Roman" w:hAnsi="Times New Roman" w:cs="Times New Roman" w:eastAsia="Times New Roman"/>
                <w:b/>
                <w:i w:val="0"/>
                <w:sz w:val="26"/>
              </w:rPr>
              <w:t>BHUMIKA SINGH</w:t>
            </w:r>
          </w:p>
        </w:tc>
      </w:tr>
      <w:tr>
        <w:tc>
          <w:tcPr>
            <w:tcW w:type="dxa" w:w="2304"/>
          </w:tcPr>
          <w:p>
            <w:pPr>
              <w:spacing w:after="60" w:line="360" w:lineRule="auto"/>
            </w:pPr>
            <w:r/>
            <w:r>
              <w:rPr>
                <w:rFonts w:ascii="Times New Roman" w:hAnsi="Times New Roman" w:cs="Times New Roman" w:eastAsia="Times New Roman"/>
                <w:b/>
                <w:i w:val="0"/>
                <w:sz w:val="26"/>
              </w:rPr>
              <w:t>23BCE0958</w:t>
            </w:r>
          </w:p>
        </w:tc>
        <w:tc>
          <w:tcPr>
            <w:tcW w:type="dxa" w:w="3744"/>
          </w:tcPr>
          <w:p>
            <w:pPr>
              <w:spacing w:after="60" w:line="360" w:lineRule="auto"/>
              <w:jc w:val="center"/>
            </w:pPr>
            <w:r/>
            <w:r>
              <w:rPr>
                <w:rFonts w:ascii="Times New Roman" w:hAnsi="Times New Roman" w:cs="Times New Roman" w:eastAsia="Times New Roman"/>
                <w:b/>
                <w:i w:val="0"/>
                <w:sz w:val="26"/>
              </w:rPr>
              <w:t>AKSHAT GUPTA</w:t>
            </w:r>
          </w:p>
        </w:tc>
      </w:tr>
      <w:tr>
        <w:tc>
          <w:tcPr>
            <w:tcW w:type="dxa" w:w="2304"/>
          </w:tcPr>
          <w:p>
            <w:pPr>
              <w:spacing w:after="60" w:line="360" w:lineRule="auto"/>
            </w:pPr>
            <w:r/>
            <w:r>
              <w:rPr>
                <w:rFonts w:ascii="Times New Roman" w:hAnsi="Times New Roman" w:cs="Times New Roman" w:eastAsia="Times New Roman"/>
                <w:b/>
                <w:i w:val="0"/>
                <w:sz w:val="26"/>
              </w:rPr>
              <w:t>23BCI0262</w:t>
            </w:r>
          </w:p>
        </w:tc>
        <w:tc>
          <w:tcPr>
            <w:tcW w:type="dxa" w:w="3744"/>
          </w:tcPr>
          <w:p>
            <w:pPr>
              <w:spacing w:after="60" w:line="360" w:lineRule="auto"/>
              <w:jc w:val="center"/>
            </w:pPr>
            <w:r/>
            <w:r>
              <w:rPr>
                <w:rFonts w:ascii="Times New Roman" w:hAnsi="Times New Roman" w:cs="Times New Roman" w:eastAsia="Times New Roman"/>
                <w:b/>
                <w:i w:val="0"/>
                <w:sz w:val="26"/>
              </w:rPr>
              <w:t>GAURISH TODI</w:t>
            </w:r>
          </w:p>
        </w:tc>
      </w:tr>
    </w:tbl>
    <w:p>
      <w:pPr>
        <w:spacing w:line="276" w:lineRule="auto" w:after="280" w:before="0"/>
      </w:pPr>
    </w:p>
    <w:p>
      <w:pPr>
        <w:spacing w:line="360" w:lineRule="auto" w:after="160" w:before="0"/>
        <w:jc w:val="center"/>
      </w:pPr>
      <w:r>
        <w:rPr>
          <w:rFonts w:ascii="Times New Roman" w:hAnsi="Times New Roman" w:cs="Times New Roman" w:eastAsia="Times New Roman"/>
          <w:b w:val="0"/>
          <w:i w:val="0"/>
          <w:sz w:val="26"/>
        </w:rPr>
        <w:t>Under the Supervision of</w:t>
      </w:r>
    </w:p>
    <w:tbl>
      <w:tblPr>
        <w:tblW w:type="auto" w:w="0"/>
        <w:jc w:val="center"/>
        <w:tblLook w:firstColumn="1" w:firstRow="1" w:lastColumn="0" w:lastRow="0" w:noHBand="0" w:noVBand="1" w:val="04A0"/>
      </w:tblPr>
      <w:tblGrid>
        <w:gridCol w:w="9000"/>
      </w:tblGrid>
      <w:tr>
        <w:tc>
          <w:tcPr>
            <w:tcW w:type="dxa" w:w="6624"/>
          </w:tcPr>
          <w:p>
            <w:pPr>
              <w:spacing w:after="60" w:line="360" w:lineRule="auto"/>
              <w:jc w:val="center"/>
            </w:pPr>
            <w:r/>
            <w:r>
              <w:rPr>
                <w:rFonts w:ascii="Times New Roman" w:hAnsi="Times New Roman" w:cs="Times New Roman" w:eastAsia="Times New Roman"/>
                <w:b/>
                <w:i w:val="0"/>
                <w:sz w:val="24"/>
              </w:rPr>
              <w:t>Dr. S. M. Farooq</w:t>
            </w:r>
          </w:p>
        </w:tc>
      </w:tr>
      <w:tr>
        <w:tc>
          <w:tcPr>
            <w:tcW w:type="dxa" w:w="6624"/>
          </w:tcPr>
          <w:p>
            <w:pPr>
              <w:spacing w:after="60" w:line="360" w:lineRule="auto"/>
              <w:jc w:val="center"/>
            </w:pPr>
            <w:r/>
            <w:r>
              <w:rPr>
                <w:rFonts w:ascii="Times New Roman" w:hAnsi="Times New Roman" w:cs="Times New Roman" w:eastAsia="Times New Roman"/>
                <w:b w:val="0"/>
                <w:i w:val="0"/>
                <w:sz w:val="24"/>
              </w:rPr>
              <w:t>[Designation]</w:t>
            </w:r>
          </w:p>
        </w:tc>
      </w:tr>
      <w:tr>
        <w:tc>
          <w:tcPr>
            <w:tcW w:type="dxa" w:w="6624"/>
          </w:tcPr>
          <w:p>
            <w:pPr>
              <w:spacing w:after="60" w:line="360" w:lineRule="auto"/>
              <w:jc w:val="center"/>
            </w:pPr>
            <w:r/>
            <w:r>
              <w:rPr>
                <w:rFonts w:ascii="Times New Roman" w:hAnsi="Times New Roman" w:cs="Times New Roman" w:eastAsia="Times New Roman"/>
                <w:b w:val="0"/>
                <w:i w:val="0"/>
                <w:sz w:val="24"/>
              </w:rPr>
              <w:t>School of Computer Science and Engineering</w:t>
            </w:r>
          </w:p>
        </w:tc>
      </w:tr>
    </w:tbl>
    <w:p>
      <w:pPr>
        <w:spacing w:line="276" w:lineRule="auto" w:after="320" w:before="0"/>
      </w:pPr>
    </w:p>
    <w:p>
      <w:pPr>
        <w:spacing w:line="360" w:lineRule="auto" w:after="40" w:before="0"/>
        <w:jc w:val="center"/>
      </w:pPr>
      <w:r>
        <w:rPr>
          <w:rFonts w:ascii="Times New Roman" w:hAnsi="Times New Roman" w:cs="Times New Roman" w:eastAsia="Times New Roman"/>
          <w:b w:val="0"/>
          <w:i w:val="0"/>
          <w:sz w:val="26"/>
        </w:rPr>
        <w:t>B.Tech.</w:t>
      </w:r>
    </w:p>
    <w:p>
      <w:pPr>
        <w:spacing w:line="360" w:lineRule="auto" w:after="40" w:before="0"/>
        <w:jc w:val="center"/>
      </w:pPr>
      <w:r>
        <w:rPr>
          <w:rFonts w:ascii="Times New Roman" w:hAnsi="Times New Roman" w:cs="Times New Roman" w:eastAsia="Times New Roman"/>
          <w:b w:val="0"/>
          <w:i w:val="0"/>
          <w:sz w:val="26"/>
        </w:rPr>
        <w:t>in</w:t>
      </w:r>
    </w:p>
    <w:p>
      <w:pPr>
        <w:spacing w:line="360" w:lineRule="auto" w:after="360" w:before="0"/>
        <w:jc w:val="center"/>
      </w:pPr>
      <w:r>
        <w:rPr>
          <w:rFonts w:ascii="Times New Roman" w:hAnsi="Times New Roman" w:cs="Times New Roman" w:eastAsia="Times New Roman"/>
          <w:b w:val="0"/>
          <w:i w:val="0"/>
          <w:sz w:val="26"/>
        </w:rPr>
        <w:t>Computer Science and Engineering</w:t>
      </w:r>
    </w:p>
    <w:p>
      <w:pPr>
        <w:spacing w:after="200"/>
        <w:jc w:val="center"/>
      </w:pPr>
      <w:r>
        <w:drawing>
          <wp:inline xmlns:a="http://schemas.openxmlformats.org/drawingml/2006/main" xmlns:pic="http://schemas.openxmlformats.org/drawingml/2006/picture">
            <wp:extent cx="2377440" cy="65779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377440" cy="657790"/>
                    </a:xfrm>
                    <a:prstGeom prst="rect"/>
                  </pic:spPr>
                </pic:pic>
              </a:graphicData>
            </a:graphic>
          </wp:inline>
        </w:drawing>
      </w:r>
    </w:p>
    <w:p>
      <w:pPr>
        <w:spacing w:line="360" w:lineRule="auto" w:after="360" w:before="0"/>
        <w:jc w:val="center"/>
      </w:pPr>
      <w:r>
        <w:rPr>
          <w:rFonts w:ascii="Times New Roman" w:hAnsi="Times New Roman" w:cs="Times New Roman" w:eastAsia="Times New Roman"/>
          <w:b/>
          <w:i w:val="0"/>
          <w:sz w:val="26"/>
        </w:rPr>
        <w:t>School of Computer Science and Engineering</w:t>
      </w:r>
    </w:p>
    <w:p>
      <w:pPr>
        <w:spacing w:line="360" w:lineRule="auto" w:after="0" w:before="0"/>
        <w:jc w:val="center"/>
      </w:pPr>
      <w:r>
        <w:rPr>
          <w:rFonts w:ascii="Times New Roman" w:hAnsi="Times New Roman" w:cs="Times New Roman" w:eastAsia="Times New Roman"/>
          <w:b/>
          <w:i w:val="0"/>
          <w:sz w:val="26"/>
        </w:rPr>
        <w:t>September 2026</w:t>
      </w:r>
    </w:p>
    <w:p>
      <w:r>
        <w:br w:type="page"/>
      </w:r>
    </w:p>
    <w:p>
      <w:pPr>
        <w:spacing w:line="360" w:lineRule="auto" w:after="240" w:before="0"/>
        <w:jc w:val="center"/>
      </w:pPr>
      <w:r>
        <w:rPr>
          <w:rFonts w:ascii="Times New Roman" w:hAnsi="Times New Roman" w:cs="Times New Roman" w:eastAsia="Times New Roman"/>
          <w:b/>
          <w:i w:val="0"/>
          <w:sz w:val="28"/>
        </w:rPr>
        <w:t>ABSTRACT</w:t>
      </w:r>
    </w:p>
    <w:p>
      <w:pPr>
        <w:spacing w:line="276" w:lineRule="auto" w:after="160" w:before="0"/>
        <w:jc w:val="both"/>
      </w:pPr>
      <w:r>
        <w:rPr>
          <w:rFonts w:ascii="Times New Roman" w:hAnsi="Times New Roman" w:cs="Times New Roman" w:eastAsia="Times New Roman"/>
          <w:b w:val="0"/>
          <w:i w:val="0"/>
          <w:sz w:val="24"/>
        </w:rPr>
        <w:t>Modern engineering teams provision cloud infrastructure declaratively using Terraform, delivered through CI/CD pipelines such as GitHub Actions into Azure, AWS or GCP. Cloud providers publish extensive governance guidance - Microsoft's Cloud Adoption Framework (CAF) and the Well-Architected Framework (WAF) - covering security, reliability, cost, operational excellence and sustainability. This guidance is narrative documentation rather than executable policy, so it is rarely verified automatically before a deployment reaches the cloud. Existing policy-as-code tools such as Checkov, Open Policy Agent and HashiCorp Sentinel evaluate only rules an engineer has already encoded; they cannot reason about the architectural intent expressed in framework documentation.</w:t>
      </w:r>
    </w:p>
    <w:p>
      <w:pPr>
        <w:spacing w:line="276" w:lineRule="auto" w:after="160" w:before="0"/>
        <w:jc w:val="both"/>
      </w:pPr>
      <w:r>
        <w:rPr>
          <w:rFonts w:ascii="Times New Roman" w:hAnsi="Times New Roman" w:cs="Times New Roman" w:eastAsia="Times New Roman"/>
          <w:b w:val="0"/>
          <w:i w:val="0"/>
          <w:sz w:val="24"/>
        </w:rPr>
        <w:t>This project presents Agent SecOps, an AI-driven compliance gate that is positioned between the terraform plan and terraform apply stages of a CI/CD pipeline. The agent parses the Terraform plan JSON, normalises every proposed resource into a cloud-agnostic representation, and evaluates it through three layers: a deterministic rule engine implementing twenty-two CAF and WAF checks, a policy-aware reasoning layer that retrieves the framework guidance relevant to each resource kind and identifies violations that no rule encodes, and an organisational policy layer supporting severity thresholds and time-boxed waivers. The gate returns a pass, remediate or block verdict with a plain-language report naming the exact pillar violated and a suggested remediation.</w:t>
      </w:r>
    </w:p>
    <w:p>
      <w:pPr>
        <w:spacing w:line="276" w:lineRule="auto" w:after="160" w:before="0"/>
        <w:jc w:val="both"/>
      </w:pPr>
      <w:r>
        <w:rPr>
          <w:rFonts w:ascii="Times New Roman" w:hAnsi="Times New Roman" w:cs="Times New Roman" w:eastAsia="Times New Roman"/>
          <w:b w:val="0"/>
          <w:i w:val="0"/>
          <w:sz w:val="24"/>
        </w:rPr>
        <w:t>The prototype was evaluated against a labelled test set of forty-two seeded misconfigurations spanning Azure, AWS and GCP. The deterministic rules alone detected 88.1 per cent of violations, while the complete agent detected 100 per cent, with zero false positives on a compliant module and a median gate latency below ten milliseconds. The system was additionally validated against a live Azure subscription, where it gated and approved a real deployment of four resources.</w:t>
      </w:r>
    </w:p>
    <w:p>
      <w:pPr>
        <w:spacing w:line="276" w:lineRule="auto" w:after="120" w:before="0"/>
      </w:pPr>
    </w:p>
    <w:p>
      <w:pPr>
        <w:spacing w:line="276" w:lineRule="auto"/>
      </w:pPr>
      <w:r>
        <w:rPr>
          <w:rFonts w:ascii="Times New Roman" w:hAnsi="Times New Roman" w:cs="Times New Roman" w:eastAsia="Times New Roman"/>
          <w:b/>
          <w:i w:val="0"/>
          <w:sz w:val="24"/>
        </w:rPr>
        <w:t xml:space="preserve">Keywords - </w:t>
      </w:r>
      <w:r>
        <w:rPr>
          <w:rFonts w:ascii="Times New Roman" w:hAnsi="Times New Roman" w:cs="Times New Roman" w:eastAsia="Times New Roman"/>
          <w:b w:val="0"/>
          <w:i w:val="0"/>
          <w:sz w:val="24"/>
        </w:rPr>
        <w:t>Infrastructure as Code, Cloud Adoption Framework, Well-Architected Framework, Policy as Code, DevSecOps, Large Language Models, Terraform, CI/CD, Cloud Governance.</w:t>
      </w:r>
    </w:p>
    <w:p>
      <w:r>
        <w:br w:type="page"/>
      </w:r>
    </w:p>
    <w:p>
      <w:pPr>
        <w:spacing w:line="360" w:lineRule="auto" w:after="240" w:before="0"/>
        <w:jc w:val="center"/>
      </w:pPr>
      <w:r>
        <w:rPr>
          <w:rFonts w:ascii="Times New Roman" w:hAnsi="Times New Roman" w:cs="Times New Roman" w:eastAsia="Times New Roman"/>
          <w:b/>
          <w:i w:val="0"/>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1152"/>
          </w:tcPr>
          <w:p>
            <w:pPr>
              <w:spacing w:line="360" w:lineRule="auto"/>
              <w:jc w:val="center"/>
            </w:pPr>
            <w:r/>
            <w:r>
              <w:rPr>
                <w:rFonts w:ascii="Times New Roman" w:hAnsi="Times New Roman" w:cs="Times New Roman" w:eastAsia="Times New Roman"/>
                <w:b/>
                <w:i w:val="0"/>
                <w:sz w:val="24"/>
              </w:rPr>
              <w:t>Sl.No</w:t>
            </w:r>
          </w:p>
        </w:tc>
        <w:tc>
          <w:tcPr>
            <w:tcW w:type="dxa" w:w="6336"/>
          </w:tcPr>
          <w:p>
            <w:pPr>
              <w:spacing w:line="360" w:lineRule="auto"/>
              <w:jc w:val="center"/>
            </w:pPr>
            <w:r/>
            <w:r>
              <w:rPr>
                <w:rFonts w:ascii="Times New Roman" w:hAnsi="Times New Roman" w:cs="Times New Roman" w:eastAsia="Times New Roman"/>
                <w:b/>
                <w:i w:val="0"/>
                <w:sz w:val="24"/>
              </w:rPr>
              <w:t>Contents</w:t>
            </w:r>
          </w:p>
        </w:tc>
        <w:tc>
          <w:tcPr>
            <w:tcW w:type="dxa" w:w="1440"/>
          </w:tcPr>
          <w:p>
            <w:pPr>
              <w:spacing w:line="360" w:lineRule="auto"/>
              <w:jc w:val="center"/>
            </w:pPr>
            <w:r/>
            <w:r>
              <w:rPr>
                <w:rFonts w:ascii="Times New Roman" w:hAnsi="Times New Roman" w:cs="Times New Roman" w:eastAsia="Times New Roman"/>
                <w:b/>
                <w:i w:val="0"/>
                <w:sz w:val="24"/>
              </w:rPr>
              <w:t>Page No.</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Abstract</w:t>
            </w:r>
          </w:p>
        </w:tc>
        <w:tc>
          <w:tcPr>
            <w:tcW w:type="dxa" w:w="1440"/>
          </w:tcPr>
          <w:p>
            <w:pPr>
              <w:spacing w:line="360" w:lineRule="auto" w:after="0"/>
              <w:jc w:val="center"/>
            </w:pPr>
            <w:r/>
            <w:r>
              <w:rPr>
                <w:rFonts w:ascii="Times New Roman" w:hAnsi="Times New Roman" w:cs="Times New Roman" w:eastAsia="Times New Roman"/>
                <w:b w:val="0"/>
                <w:i w:val="0"/>
                <w:sz w:val="24"/>
              </w:rPr>
              <w:t>i</w:t>
            </w:r>
          </w:p>
        </w:tc>
      </w:tr>
      <w:tr>
        <w:tc>
          <w:tcPr>
            <w:tcW w:type="dxa" w:w="1152"/>
          </w:tcPr>
          <w:p>
            <w:pPr>
              <w:spacing w:line="360" w:lineRule="auto" w:after="0"/>
              <w:jc w:val="center"/>
            </w:pPr>
            <w:r/>
            <w:r>
              <w:rPr>
                <w:rFonts w:ascii="Times New Roman" w:hAnsi="Times New Roman" w:cs="Times New Roman" w:eastAsia="Times New Roman"/>
                <w:b/>
                <w:i w:val="0"/>
                <w:sz w:val="24"/>
              </w:rPr>
              <w:t>1.</w:t>
            </w:r>
          </w:p>
        </w:tc>
        <w:tc>
          <w:tcPr>
            <w:tcW w:type="dxa" w:w="6336"/>
          </w:tcPr>
          <w:p>
            <w:pPr>
              <w:spacing w:line="360" w:lineRule="auto" w:after="0"/>
              <w:jc w:val="left"/>
            </w:pPr>
            <w:r/>
            <w:r>
              <w:rPr>
                <w:rFonts w:ascii="Times New Roman" w:hAnsi="Times New Roman" w:cs="Times New Roman" w:eastAsia="Times New Roman"/>
                <w:b/>
                <w:i w:val="0"/>
                <w:sz w:val="24"/>
              </w:rPr>
              <w:t>INTRODUCTION</w:t>
            </w:r>
          </w:p>
        </w:tc>
        <w:tc>
          <w:tcPr>
            <w:tcW w:type="dxa" w:w="1440"/>
          </w:tcPr>
          <w:p>
            <w:pPr>
              <w:spacing w:line="360" w:lineRule="auto" w:after="0"/>
              <w:jc w:val="center"/>
            </w:pPr>
            <w:r/>
            <w:r>
              <w:rPr>
                <w:rFonts w:ascii="Times New Roman" w:hAnsi="Times New Roman" w:cs="Times New Roman" w:eastAsia="Times New Roman"/>
                <w:b/>
                <w:i w:val="0"/>
                <w:sz w:val="24"/>
              </w:rPr>
              <w:t>1</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1.1 Background</w:t>
            </w:r>
          </w:p>
        </w:tc>
        <w:tc>
          <w:tcPr>
            <w:tcW w:type="dxa" w:w="1440"/>
          </w:tcPr>
          <w:p>
            <w:pPr>
              <w:spacing w:line="360" w:lineRule="auto" w:after="0"/>
              <w:jc w:val="center"/>
            </w:pPr>
            <w:r/>
            <w:r>
              <w:rPr>
                <w:rFonts w:ascii="Times New Roman" w:hAnsi="Times New Roman" w:cs="Times New Roman" w:eastAsia="Times New Roman"/>
                <w:b w:val="0"/>
                <w:i w:val="0"/>
                <w:sz w:val="24"/>
              </w:rPr>
              <w:t>1</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1.2 Motivation</w:t>
            </w:r>
          </w:p>
        </w:tc>
        <w:tc>
          <w:tcPr>
            <w:tcW w:type="dxa" w:w="1440"/>
          </w:tcPr>
          <w:p>
            <w:pPr>
              <w:spacing w:line="360" w:lineRule="auto" w:after="0"/>
              <w:jc w:val="center"/>
            </w:pPr>
            <w:r/>
            <w:r>
              <w:rPr>
                <w:rFonts w:ascii="Times New Roman" w:hAnsi="Times New Roman" w:cs="Times New Roman" w:eastAsia="Times New Roman"/>
                <w:b w:val="0"/>
                <w:i w:val="0"/>
                <w:sz w:val="24"/>
              </w:rPr>
              <w:t>1</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1.3 Scope of the Project</w:t>
            </w:r>
          </w:p>
        </w:tc>
        <w:tc>
          <w:tcPr>
            <w:tcW w:type="dxa" w:w="1440"/>
          </w:tcPr>
          <w:p>
            <w:pPr>
              <w:spacing w:line="360" w:lineRule="auto" w:after="0"/>
              <w:jc w:val="center"/>
            </w:pPr>
            <w:r/>
            <w:r>
              <w:rPr>
                <w:rFonts w:ascii="Times New Roman" w:hAnsi="Times New Roman" w:cs="Times New Roman" w:eastAsia="Times New Roman"/>
                <w:b w:val="0"/>
                <w:i w:val="0"/>
                <w:sz w:val="24"/>
              </w:rPr>
              <w:t>2</w:t>
            </w:r>
          </w:p>
        </w:tc>
      </w:tr>
      <w:tr>
        <w:tc>
          <w:tcPr>
            <w:tcW w:type="dxa" w:w="1152"/>
          </w:tcPr>
          <w:p>
            <w:pPr>
              <w:spacing w:line="360" w:lineRule="auto" w:after="0"/>
              <w:jc w:val="center"/>
            </w:pPr>
            <w:r/>
            <w:r>
              <w:rPr>
                <w:rFonts w:ascii="Times New Roman" w:hAnsi="Times New Roman" w:cs="Times New Roman" w:eastAsia="Times New Roman"/>
                <w:b/>
                <w:i w:val="0"/>
                <w:sz w:val="24"/>
              </w:rPr>
              <w:t>2.</w:t>
            </w:r>
          </w:p>
        </w:tc>
        <w:tc>
          <w:tcPr>
            <w:tcW w:type="dxa" w:w="6336"/>
          </w:tcPr>
          <w:p>
            <w:pPr>
              <w:spacing w:line="360" w:lineRule="auto" w:after="0"/>
              <w:jc w:val="left"/>
            </w:pPr>
            <w:r/>
            <w:r>
              <w:rPr>
                <w:rFonts w:ascii="Times New Roman" w:hAnsi="Times New Roman" w:cs="Times New Roman" w:eastAsia="Times New Roman"/>
                <w:b/>
                <w:i w:val="0"/>
                <w:sz w:val="24"/>
              </w:rPr>
              <w:t>PROJECT DESCRIPTION AND GOALS</w:t>
            </w:r>
          </w:p>
        </w:tc>
        <w:tc>
          <w:tcPr>
            <w:tcW w:type="dxa" w:w="1440"/>
          </w:tcPr>
          <w:p>
            <w:pPr>
              <w:spacing w:line="360" w:lineRule="auto" w:after="0"/>
              <w:jc w:val="center"/>
            </w:pPr>
            <w:r/>
            <w:r>
              <w:rPr>
                <w:rFonts w:ascii="Times New Roman" w:hAnsi="Times New Roman" w:cs="Times New Roman" w:eastAsia="Times New Roman"/>
                <w:b/>
                <w:i w:val="0"/>
                <w:sz w:val="24"/>
              </w:rPr>
              <w:t>3</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2.1 Literature Review</w:t>
            </w:r>
          </w:p>
        </w:tc>
        <w:tc>
          <w:tcPr>
            <w:tcW w:type="dxa" w:w="1440"/>
          </w:tcPr>
          <w:p>
            <w:pPr>
              <w:spacing w:line="360" w:lineRule="auto" w:after="0"/>
              <w:jc w:val="center"/>
            </w:pPr>
            <w:r/>
            <w:r>
              <w:rPr>
                <w:rFonts w:ascii="Times New Roman" w:hAnsi="Times New Roman" w:cs="Times New Roman" w:eastAsia="Times New Roman"/>
                <w:b w:val="0"/>
                <w:i w:val="0"/>
                <w:sz w:val="24"/>
              </w:rPr>
              <w:t>3</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2.2 Research Gap</w:t>
            </w:r>
          </w:p>
        </w:tc>
        <w:tc>
          <w:tcPr>
            <w:tcW w:type="dxa" w:w="1440"/>
          </w:tcPr>
          <w:p>
            <w:pPr>
              <w:spacing w:line="360" w:lineRule="auto" w:after="0"/>
              <w:jc w:val="center"/>
            </w:pPr>
            <w:r/>
            <w:r>
              <w:rPr>
                <w:rFonts w:ascii="Times New Roman" w:hAnsi="Times New Roman" w:cs="Times New Roman" w:eastAsia="Times New Roman"/>
                <w:b w:val="0"/>
                <w:i w:val="0"/>
                <w:sz w:val="24"/>
              </w:rPr>
              <w:t>6</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2.3 Objectives</w:t>
            </w:r>
          </w:p>
        </w:tc>
        <w:tc>
          <w:tcPr>
            <w:tcW w:type="dxa" w:w="1440"/>
          </w:tcPr>
          <w:p>
            <w:pPr>
              <w:spacing w:line="360" w:lineRule="auto" w:after="0"/>
              <w:jc w:val="center"/>
            </w:pPr>
            <w:r/>
            <w:r>
              <w:rPr>
                <w:rFonts w:ascii="Times New Roman" w:hAnsi="Times New Roman" w:cs="Times New Roman" w:eastAsia="Times New Roman"/>
                <w:b w:val="0"/>
                <w:i w:val="0"/>
                <w:sz w:val="24"/>
              </w:rPr>
              <w:t>7</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2.4 Problem Statement</w:t>
            </w:r>
          </w:p>
        </w:tc>
        <w:tc>
          <w:tcPr>
            <w:tcW w:type="dxa" w:w="1440"/>
          </w:tcPr>
          <w:p>
            <w:pPr>
              <w:spacing w:line="360" w:lineRule="auto" w:after="0"/>
              <w:jc w:val="center"/>
            </w:pPr>
            <w:r/>
            <w:r>
              <w:rPr>
                <w:rFonts w:ascii="Times New Roman" w:hAnsi="Times New Roman" w:cs="Times New Roman" w:eastAsia="Times New Roman"/>
                <w:b w:val="0"/>
                <w:i w:val="0"/>
                <w:sz w:val="24"/>
              </w:rPr>
              <w:t>8</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2.5 Project Plan</w:t>
            </w:r>
          </w:p>
        </w:tc>
        <w:tc>
          <w:tcPr>
            <w:tcW w:type="dxa" w:w="1440"/>
          </w:tcPr>
          <w:p>
            <w:pPr>
              <w:spacing w:line="360" w:lineRule="auto" w:after="0"/>
              <w:jc w:val="center"/>
            </w:pPr>
            <w:r/>
            <w:r>
              <w:rPr>
                <w:rFonts w:ascii="Times New Roman" w:hAnsi="Times New Roman" w:cs="Times New Roman" w:eastAsia="Times New Roman"/>
                <w:b w:val="0"/>
                <w:i w:val="0"/>
                <w:sz w:val="24"/>
              </w:rPr>
              <w:t>8</w:t>
            </w:r>
          </w:p>
        </w:tc>
      </w:tr>
      <w:tr>
        <w:tc>
          <w:tcPr>
            <w:tcW w:type="dxa" w:w="1152"/>
          </w:tcPr>
          <w:p>
            <w:pPr>
              <w:spacing w:line="360" w:lineRule="auto" w:after="0"/>
              <w:jc w:val="center"/>
            </w:pPr>
            <w:r/>
            <w:r>
              <w:rPr>
                <w:rFonts w:ascii="Times New Roman" w:hAnsi="Times New Roman" w:cs="Times New Roman" w:eastAsia="Times New Roman"/>
                <w:b/>
                <w:i w:val="0"/>
                <w:sz w:val="24"/>
              </w:rPr>
              <w:t>3.</w:t>
            </w:r>
          </w:p>
        </w:tc>
        <w:tc>
          <w:tcPr>
            <w:tcW w:type="dxa" w:w="6336"/>
          </w:tcPr>
          <w:p>
            <w:pPr>
              <w:spacing w:line="360" w:lineRule="auto" w:after="0"/>
              <w:jc w:val="left"/>
            </w:pPr>
            <w:r/>
            <w:r>
              <w:rPr>
                <w:rFonts w:ascii="Times New Roman" w:hAnsi="Times New Roman" w:cs="Times New Roman" w:eastAsia="Times New Roman"/>
                <w:b/>
                <w:i w:val="0"/>
                <w:sz w:val="24"/>
              </w:rPr>
              <w:t>TECHNICAL SPECIFICATION</w:t>
            </w:r>
          </w:p>
        </w:tc>
        <w:tc>
          <w:tcPr>
            <w:tcW w:type="dxa" w:w="1440"/>
          </w:tcPr>
          <w:p>
            <w:pPr>
              <w:spacing w:line="360" w:lineRule="auto" w:after="0"/>
              <w:jc w:val="center"/>
            </w:pPr>
            <w:r/>
            <w:r>
              <w:rPr>
                <w:rFonts w:ascii="Times New Roman" w:hAnsi="Times New Roman" w:cs="Times New Roman" w:eastAsia="Times New Roman"/>
                <w:b/>
                <w:i w:val="0"/>
                <w:sz w:val="24"/>
              </w:rPr>
              <w:t>11</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3.1 Requirements</w:t>
            </w:r>
          </w:p>
        </w:tc>
        <w:tc>
          <w:tcPr>
            <w:tcW w:type="dxa" w:w="1440"/>
          </w:tcPr>
          <w:p>
            <w:pPr>
              <w:spacing w:line="360" w:lineRule="auto" w:after="0"/>
              <w:jc w:val="center"/>
            </w:pPr>
            <w:r/>
            <w:r>
              <w:rPr>
                <w:rFonts w:ascii="Times New Roman" w:hAnsi="Times New Roman" w:cs="Times New Roman" w:eastAsia="Times New Roman"/>
                <w:b w:val="0"/>
                <w:i w:val="0"/>
                <w:sz w:val="24"/>
              </w:rPr>
              <w:t>11</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3.1.1 Functional</w:t>
            </w:r>
          </w:p>
        </w:tc>
        <w:tc>
          <w:tcPr>
            <w:tcW w:type="dxa" w:w="1440"/>
          </w:tcPr>
          <w:p>
            <w:pPr>
              <w:spacing w:line="360" w:lineRule="auto" w:after="0"/>
              <w:jc w:val="center"/>
            </w:pPr>
            <w:r/>
            <w:r>
              <w:rPr>
                <w:rFonts w:ascii="Times New Roman" w:hAnsi="Times New Roman" w:cs="Times New Roman" w:eastAsia="Times New Roman"/>
                <w:b w:val="0"/>
                <w:i w:val="0"/>
                <w:sz w:val="24"/>
              </w:rPr>
              <w:t>11</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3.1.2 Non-Functional</w:t>
            </w:r>
          </w:p>
        </w:tc>
        <w:tc>
          <w:tcPr>
            <w:tcW w:type="dxa" w:w="1440"/>
          </w:tcPr>
          <w:p>
            <w:pPr>
              <w:spacing w:line="360" w:lineRule="auto" w:after="0"/>
              <w:jc w:val="center"/>
            </w:pPr>
            <w:r/>
            <w:r>
              <w:rPr>
                <w:rFonts w:ascii="Times New Roman" w:hAnsi="Times New Roman" w:cs="Times New Roman" w:eastAsia="Times New Roman"/>
                <w:b w:val="0"/>
                <w:i w:val="0"/>
                <w:sz w:val="24"/>
              </w:rPr>
              <w:t>12</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3.2 Feasibility Study</w:t>
            </w:r>
          </w:p>
        </w:tc>
        <w:tc>
          <w:tcPr>
            <w:tcW w:type="dxa" w:w="1440"/>
          </w:tcPr>
          <w:p>
            <w:pPr>
              <w:spacing w:line="360" w:lineRule="auto" w:after="0"/>
              <w:jc w:val="center"/>
            </w:pPr>
            <w:r/>
            <w:r>
              <w:rPr>
                <w:rFonts w:ascii="Times New Roman" w:hAnsi="Times New Roman" w:cs="Times New Roman" w:eastAsia="Times New Roman"/>
                <w:b w:val="0"/>
                <w:i w:val="0"/>
                <w:sz w:val="24"/>
              </w:rPr>
              <w:t>13</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3.2.1 Technical Feasibility</w:t>
            </w:r>
          </w:p>
        </w:tc>
        <w:tc>
          <w:tcPr>
            <w:tcW w:type="dxa" w:w="1440"/>
          </w:tcPr>
          <w:p>
            <w:pPr>
              <w:spacing w:line="360" w:lineRule="auto" w:after="0"/>
              <w:jc w:val="center"/>
            </w:pPr>
            <w:r/>
            <w:r>
              <w:rPr>
                <w:rFonts w:ascii="Times New Roman" w:hAnsi="Times New Roman" w:cs="Times New Roman" w:eastAsia="Times New Roman"/>
                <w:b w:val="0"/>
                <w:i w:val="0"/>
                <w:sz w:val="24"/>
              </w:rPr>
              <w:t>13</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3.2.2 Economic Feasibility</w:t>
            </w:r>
          </w:p>
        </w:tc>
        <w:tc>
          <w:tcPr>
            <w:tcW w:type="dxa" w:w="1440"/>
          </w:tcPr>
          <w:p>
            <w:pPr>
              <w:spacing w:line="360" w:lineRule="auto" w:after="0"/>
              <w:jc w:val="center"/>
            </w:pPr>
            <w:r/>
            <w:r>
              <w:rPr>
                <w:rFonts w:ascii="Times New Roman" w:hAnsi="Times New Roman" w:cs="Times New Roman" w:eastAsia="Times New Roman"/>
                <w:b w:val="0"/>
                <w:i w:val="0"/>
                <w:sz w:val="24"/>
              </w:rPr>
              <w:t>14</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3.2.3 Social Feasibility</w:t>
            </w:r>
          </w:p>
        </w:tc>
        <w:tc>
          <w:tcPr>
            <w:tcW w:type="dxa" w:w="1440"/>
          </w:tcPr>
          <w:p>
            <w:pPr>
              <w:spacing w:line="360" w:lineRule="auto" w:after="0"/>
              <w:jc w:val="center"/>
            </w:pPr>
            <w:r/>
            <w:r>
              <w:rPr>
                <w:rFonts w:ascii="Times New Roman" w:hAnsi="Times New Roman" w:cs="Times New Roman" w:eastAsia="Times New Roman"/>
                <w:b w:val="0"/>
                <w:i w:val="0"/>
                <w:sz w:val="24"/>
              </w:rPr>
              <w:t>14</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3.3 System Specification</w:t>
            </w:r>
          </w:p>
        </w:tc>
        <w:tc>
          <w:tcPr>
            <w:tcW w:type="dxa" w:w="1440"/>
          </w:tcPr>
          <w:p>
            <w:pPr>
              <w:spacing w:line="360" w:lineRule="auto" w:after="0"/>
              <w:jc w:val="center"/>
            </w:pPr>
            <w:r/>
            <w:r>
              <w:rPr>
                <w:rFonts w:ascii="Times New Roman" w:hAnsi="Times New Roman" w:cs="Times New Roman" w:eastAsia="Times New Roman"/>
                <w:b w:val="0"/>
                <w:i w:val="0"/>
                <w:sz w:val="24"/>
              </w:rPr>
              <w:t>15</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3.3.1 Hardware Specification</w:t>
            </w:r>
          </w:p>
        </w:tc>
        <w:tc>
          <w:tcPr>
            <w:tcW w:type="dxa" w:w="1440"/>
          </w:tcPr>
          <w:p>
            <w:pPr>
              <w:spacing w:line="360" w:lineRule="auto" w:after="0"/>
              <w:jc w:val="center"/>
            </w:pPr>
            <w:r/>
            <w:r>
              <w:rPr>
                <w:rFonts w:ascii="Times New Roman" w:hAnsi="Times New Roman" w:cs="Times New Roman" w:eastAsia="Times New Roman"/>
                <w:b w:val="0"/>
                <w:i w:val="0"/>
                <w:sz w:val="24"/>
              </w:rPr>
              <w:t>15</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3.3.2 Software Specification</w:t>
            </w:r>
          </w:p>
        </w:tc>
        <w:tc>
          <w:tcPr>
            <w:tcW w:type="dxa" w:w="1440"/>
          </w:tcPr>
          <w:p>
            <w:pPr>
              <w:spacing w:line="360" w:lineRule="auto" w:after="0"/>
              <w:jc w:val="center"/>
            </w:pPr>
            <w:r/>
            <w:r>
              <w:rPr>
                <w:rFonts w:ascii="Times New Roman" w:hAnsi="Times New Roman" w:cs="Times New Roman" w:eastAsia="Times New Roman"/>
                <w:b w:val="0"/>
                <w:i w:val="0"/>
                <w:sz w:val="24"/>
              </w:rPr>
              <w:t>15</w:t>
            </w:r>
          </w:p>
        </w:tc>
      </w:tr>
      <w:tr>
        <w:tc>
          <w:tcPr>
            <w:tcW w:type="dxa" w:w="1152"/>
          </w:tcPr>
          <w:p>
            <w:pPr>
              <w:spacing w:line="360" w:lineRule="auto" w:after="0"/>
              <w:jc w:val="center"/>
            </w:pPr>
            <w:r/>
            <w:r>
              <w:rPr>
                <w:rFonts w:ascii="Times New Roman" w:hAnsi="Times New Roman" w:cs="Times New Roman" w:eastAsia="Times New Roman"/>
                <w:b/>
                <w:i w:val="0"/>
                <w:sz w:val="24"/>
              </w:rPr>
              <w:t>4.</w:t>
            </w:r>
          </w:p>
        </w:tc>
        <w:tc>
          <w:tcPr>
            <w:tcW w:type="dxa" w:w="6336"/>
          </w:tcPr>
          <w:p>
            <w:pPr>
              <w:spacing w:line="360" w:lineRule="auto" w:after="0"/>
              <w:jc w:val="left"/>
            </w:pPr>
            <w:r/>
            <w:r>
              <w:rPr>
                <w:rFonts w:ascii="Times New Roman" w:hAnsi="Times New Roman" w:cs="Times New Roman" w:eastAsia="Times New Roman"/>
                <w:b/>
                <w:i w:val="0"/>
                <w:sz w:val="24"/>
              </w:rPr>
              <w:t>DESIGN APPROACH AND DETAILS</w:t>
            </w:r>
          </w:p>
        </w:tc>
        <w:tc>
          <w:tcPr>
            <w:tcW w:type="dxa" w:w="1440"/>
          </w:tcPr>
          <w:p>
            <w:pPr>
              <w:spacing w:line="360" w:lineRule="auto" w:after="0"/>
              <w:jc w:val="center"/>
            </w:pPr>
            <w:r/>
            <w:r>
              <w:rPr>
                <w:rFonts w:ascii="Times New Roman" w:hAnsi="Times New Roman" w:cs="Times New Roman" w:eastAsia="Times New Roman"/>
                <w:b/>
                <w:i w:val="0"/>
                <w:sz w:val="24"/>
              </w:rPr>
              <w:t>17</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4.1 System Architecture</w:t>
            </w:r>
          </w:p>
        </w:tc>
        <w:tc>
          <w:tcPr>
            <w:tcW w:type="dxa" w:w="1440"/>
          </w:tcPr>
          <w:p>
            <w:pPr>
              <w:spacing w:line="360" w:lineRule="auto" w:after="0"/>
              <w:jc w:val="center"/>
            </w:pPr>
            <w:r/>
            <w:r>
              <w:rPr>
                <w:rFonts w:ascii="Times New Roman" w:hAnsi="Times New Roman" w:cs="Times New Roman" w:eastAsia="Times New Roman"/>
                <w:b w:val="0"/>
                <w:i w:val="0"/>
                <w:sz w:val="24"/>
              </w:rPr>
              <w:t>17</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4.2 Design</w:t>
            </w:r>
          </w:p>
        </w:tc>
        <w:tc>
          <w:tcPr>
            <w:tcW w:type="dxa" w:w="1440"/>
          </w:tcPr>
          <w:p>
            <w:pPr>
              <w:spacing w:line="360" w:lineRule="auto" w:after="0"/>
              <w:jc w:val="center"/>
            </w:pPr>
            <w:r/>
            <w:r>
              <w:rPr>
                <w:rFonts w:ascii="Times New Roman" w:hAnsi="Times New Roman" w:cs="Times New Roman" w:eastAsia="Times New Roman"/>
                <w:b w:val="0"/>
                <w:i w:val="0"/>
                <w:sz w:val="24"/>
              </w:rPr>
              <w:t>19</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4.2.1 Data Flow Diagram</w:t>
            </w:r>
          </w:p>
        </w:tc>
        <w:tc>
          <w:tcPr>
            <w:tcW w:type="dxa" w:w="1440"/>
          </w:tcPr>
          <w:p>
            <w:pPr>
              <w:spacing w:line="360" w:lineRule="auto" w:after="0"/>
              <w:jc w:val="center"/>
            </w:pPr>
            <w:r/>
            <w:r>
              <w:rPr>
                <w:rFonts w:ascii="Times New Roman" w:hAnsi="Times New Roman" w:cs="Times New Roman" w:eastAsia="Times New Roman"/>
                <w:b w:val="0"/>
                <w:i w:val="0"/>
                <w:sz w:val="24"/>
              </w:rPr>
              <w:t>19</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4.2.2 Use Case Diagram</w:t>
            </w:r>
          </w:p>
        </w:tc>
        <w:tc>
          <w:tcPr>
            <w:tcW w:type="dxa" w:w="1440"/>
          </w:tcPr>
          <w:p>
            <w:pPr>
              <w:spacing w:line="360" w:lineRule="auto" w:after="0"/>
              <w:jc w:val="center"/>
            </w:pPr>
            <w:r/>
            <w:r>
              <w:rPr>
                <w:rFonts w:ascii="Times New Roman" w:hAnsi="Times New Roman" w:cs="Times New Roman" w:eastAsia="Times New Roman"/>
                <w:b w:val="0"/>
                <w:i w:val="0"/>
                <w:sz w:val="24"/>
              </w:rPr>
              <w:t>20</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4.2.3 Class Diagram</w:t>
            </w:r>
          </w:p>
        </w:tc>
        <w:tc>
          <w:tcPr>
            <w:tcW w:type="dxa" w:w="1440"/>
          </w:tcPr>
          <w:p>
            <w:pPr>
              <w:spacing w:line="360" w:lineRule="auto" w:after="0"/>
              <w:jc w:val="center"/>
            </w:pPr>
            <w:r/>
            <w:r>
              <w:rPr>
                <w:rFonts w:ascii="Times New Roman" w:hAnsi="Times New Roman" w:cs="Times New Roman" w:eastAsia="Times New Roman"/>
                <w:b w:val="0"/>
                <w:i w:val="0"/>
                <w:sz w:val="24"/>
              </w:rPr>
              <w:t>21</w:t>
            </w:r>
          </w:p>
        </w:tc>
      </w:tr>
      <w:tr>
        <w:tc>
          <w:tcPr>
            <w:tcW w:type="dxa" w:w="1152"/>
          </w:tcPr>
          <w:p>
            <w:pPr>
              <w:spacing w:line="360" w:lineRule="auto" w:after="0"/>
              <w:jc w:val="center"/>
            </w:pPr>
            <w:r/>
            <w:r>
              <w:rPr>
                <w:rFonts w:ascii="Times New Roman" w:hAnsi="Times New Roman" w:cs="Times New Roman" w:eastAsia="Times New Roman"/>
                <w:b w:val="0"/>
                <w:i w:val="0"/>
                <w:sz w:val="24"/>
              </w:rPr>
            </w:r>
          </w:p>
        </w:tc>
        <w:tc>
          <w:tcPr>
            <w:tcW w:type="dxa" w:w="6336"/>
          </w:tcPr>
          <w:p>
            <w:pPr>
              <w:spacing w:line="360" w:lineRule="auto" w:after="0"/>
              <w:jc w:val="left"/>
            </w:pPr>
            <w:r/>
            <w:r>
              <w:rPr>
                <w:rFonts w:ascii="Times New Roman" w:hAnsi="Times New Roman" w:cs="Times New Roman" w:eastAsia="Times New Roman"/>
                <w:b w:val="0"/>
                <w:i w:val="0"/>
                <w:sz w:val="24"/>
              </w:rPr>
              <w:t>4.2.4 Sequence Diagram</w:t>
            </w:r>
          </w:p>
        </w:tc>
        <w:tc>
          <w:tcPr>
            <w:tcW w:type="dxa" w:w="1440"/>
          </w:tcPr>
          <w:p>
            <w:pPr>
              <w:spacing w:line="360" w:lineRule="auto" w:after="0"/>
              <w:jc w:val="center"/>
            </w:pPr>
            <w:r/>
            <w:r>
              <w:rPr>
                <w:rFonts w:ascii="Times New Roman" w:hAnsi="Times New Roman" w:cs="Times New Roman" w:eastAsia="Times New Roman"/>
                <w:b w:val="0"/>
                <w:i w:val="0"/>
                <w:sz w:val="24"/>
              </w:rPr>
              <w:t>22</w:t>
            </w:r>
          </w:p>
        </w:tc>
      </w:tr>
      <w:tr>
        <w:tc>
          <w:tcPr>
            <w:tcW w:type="dxa" w:w="1152"/>
          </w:tcPr>
          <w:p>
            <w:pPr>
              <w:spacing w:line="360" w:lineRule="auto" w:after="0"/>
              <w:jc w:val="center"/>
            </w:pPr>
            <w:r/>
            <w:r>
              <w:rPr>
                <w:rFonts w:ascii="Times New Roman" w:hAnsi="Times New Roman" w:cs="Times New Roman" w:eastAsia="Times New Roman"/>
                <w:b/>
                <w:i w:val="0"/>
                <w:sz w:val="24"/>
              </w:rPr>
              <w:t>5.</w:t>
            </w:r>
          </w:p>
        </w:tc>
        <w:tc>
          <w:tcPr>
            <w:tcW w:type="dxa" w:w="6336"/>
          </w:tcPr>
          <w:p>
            <w:pPr>
              <w:spacing w:line="360" w:lineRule="auto" w:after="0"/>
              <w:jc w:val="left"/>
            </w:pPr>
            <w:r/>
            <w:r>
              <w:rPr>
                <w:rFonts w:ascii="Times New Roman" w:hAnsi="Times New Roman" w:cs="Times New Roman" w:eastAsia="Times New Roman"/>
                <w:b/>
                <w:i w:val="0"/>
                <w:sz w:val="24"/>
              </w:rPr>
              <w:t>REFERENCES</w:t>
            </w:r>
          </w:p>
        </w:tc>
        <w:tc>
          <w:tcPr>
            <w:tcW w:type="dxa" w:w="1440"/>
          </w:tcPr>
          <w:p>
            <w:pPr>
              <w:spacing w:line="360" w:lineRule="auto" w:after="0"/>
              <w:jc w:val="center"/>
            </w:pPr>
            <w:r/>
            <w:r>
              <w:rPr>
                <w:rFonts w:ascii="Times New Roman" w:hAnsi="Times New Roman" w:cs="Times New Roman" w:eastAsia="Times New Roman"/>
                <w:b/>
                <w:i w:val="0"/>
                <w:sz w:val="24"/>
              </w:rPr>
              <w:t>23</w:t>
            </w:r>
          </w:p>
        </w:tc>
      </w:tr>
    </w:tbl>
    <w:p>
      <w:pPr>
        <w:spacing w:line="276" w:lineRule="auto" w:after="80" w:before="0"/>
      </w:pPr>
    </w:p>
    <w:p>
      <w:pPr>
        <w:spacing w:line="276" w:lineRule="auto" w:after="120" w:before="0"/>
        <w:jc w:val="center"/>
      </w:pPr>
      <w:r>
        <w:rPr>
          <w:rFonts w:ascii="Times New Roman" w:hAnsi="Times New Roman" w:cs="Times New Roman" w:eastAsia="Times New Roman"/>
          <w:b w:val="0"/>
          <w:i/>
          <w:sz w:val="20"/>
        </w:rPr>
        <w:t>Note: page numbers to be refreshed after screenshots and diagrams are inserted.</w:t>
      </w:r>
    </w:p>
    <w:p>
      <w:r>
        <w:br w:type="page"/>
      </w:r>
    </w:p>
    <w:p>
      <w:pPr>
        <w:spacing w:line="360" w:lineRule="auto" w:after="160" w:before="240"/>
      </w:pPr>
      <w:r>
        <w:rPr>
          <w:rFonts w:ascii="Times New Roman" w:hAnsi="Times New Roman" w:cs="Times New Roman" w:eastAsia="Times New Roman"/>
          <w:b/>
          <w:i w:val="0"/>
          <w:sz w:val="28"/>
        </w:rPr>
        <w:t>1. INTRODUCTION</w:t>
      </w:r>
    </w:p>
    <w:p>
      <w:pPr>
        <w:spacing w:line="360" w:lineRule="auto" w:after="120" w:before="200"/>
      </w:pPr>
      <w:r>
        <w:rPr>
          <w:rFonts w:ascii="Times New Roman" w:hAnsi="Times New Roman" w:cs="Times New Roman" w:eastAsia="Times New Roman"/>
          <w:b/>
          <w:i w:val="0"/>
          <w:sz w:val="26"/>
        </w:rPr>
        <w:t>1.1 Background</w:t>
      </w:r>
    </w:p>
    <w:p>
      <w:pPr>
        <w:spacing w:line="276" w:lineRule="auto" w:after="160" w:before="0"/>
        <w:jc w:val="both"/>
      </w:pPr>
      <w:r>
        <w:rPr>
          <w:rFonts w:ascii="Times New Roman" w:hAnsi="Times New Roman" w:cs="Times New Roman" w:eastAsia="Times New Roman"/>
          <w:b w:val="0"/>
          <w:i w:val="0"/>
          <w:sz w:val="24"/>
        </w:rPr>
        <w:t>Cloud infrastructure is now provisioned as code. Instead of clicking through a portal, engineers describe the desired state of a cloud environment in a declarative language such as Terraform, commit that description to version control, and allow a CI/CD pipeline to apply it. This practice, known as Infrastructure as Code (IaC), has made provisioning repeatable and auditable, but it has also made misconfiguration reproducible and fast.</w:t>
      </w:r>
    </w:p>
    <w:p>
      <w:pPr>
        <w:spacing w:line="276" w:lineRule="auto" w:after="160" w:before="0"/>
        <w:jc w:val="both"/>
      </w:pPr>
      <w:r>
        <w:rPr>
          <w:rFonts w:ascii="Times New Roman" w:hAnsi="Times New Roman" w:cs="Times New Roman" w:eastAsia="Times New Roman"/>
          <w:b w:val="0"/>
          <w:i w:val="0"/>
          <w:sz w:val="24"/>
        </w:rPr>
        <w:t>To help organisations adopt the cloud responsibly, Microsoft publishes two complementary bodies of guidance. The Cloud Adoption Framework (CAF) addresses portfolio-level governance: resource naming, tagging, ownership, landing-zone boundaries, cost attribution and identity. The Well-Architected Framework (WAF) addresses workload-level design quality across the pillars of security, reliability, cost optimisation, operational excellence, performance efficiency and sustainability. Both are authoritative and widely referenced.</w:t>
      </w:r>
    </w:p>
    <w:p>
      <w:pPr>
        <w:spacing w:line="276" w:lineRule="auto" w:after="160" w:before="0"/>
        <w:jc w:val="both"/>
      </w:pPr>
      <w:r>
        <w:rPr>
          <w:rFonts w:ascii="Times New Roman" w:hAnsi="Times New Roman" w:cs="Times New Roman" w:eastAsia="Times New Roman"/>
          <w:b w:val="0"/>
          <w:i w:val="0"/>
          <w:sz w:val="24"/>
        </w:rPr>
        <w:t>Crucially, both are written as prose. They are documents intended for human architects to read and apply with judgement, not artefacts that a pipeline can execute. Consequently, in most organisations, the question of whether a proposed change actually respects CAF and WAF is answered - if at all - by a manual architecture review that does not scale to the volume of daily pull requests.</w:t>
      </w:r>
    </w:p>
    <w:p>
      <w:pPr>
        <w:spacing w:line="360" w:lineRule="auto" w:after="120" w:before="200"/>
      </w:pPr>
      <w:r>
        <w:rPr>
          <w:rFonts w:ascii="Times New Roman" w:hAnsi="Times New Roman" w:cs="Times New Roman" w:eastAsia="Times New Roman"/>
          <w:b/>
          <w:i w:val="0"/>
          <w:sz w:val="26"/>
        </w:rPr>
        <w:t>1.2 Motivation</w:t>
      </w:r>
    </w:p>
    <w:p>
      <w:pPr>
        <w:spacing w:line="276" w:lineRule="auto" w:after="160" w:before="0"/>
        <w:jc w:val="both"/>
      </w:pPr>
      <w:r>
        <w:rPr>
          <w:rFonts w:ascii="Times New Roman" w:hAnsi="Times New Roman" w:cs="Times New Roman" w:eastAsia="Times New Roman"/>
          <w:b w:val="0"/>
          <w:i w:val="0"/>
          <w:sz w:val="24"/>
        </w:rPr>
        <w:t>Cloud misconfiguration remains the single most preventable category of cloud security incident. Industry reporting attributes approximately 23 per cent of cloud security incidents directly to misconfigured resources, Gartner projects that close to 99 per cent of cloud security failures will be the customer's own fault - predominantly configuration errors - and industry benchmarks place the average dwell time of an undetected misconfiguration beyond 180 days.</w:t>
      </w:r>
    </w:p>
    <w:p>
      <w:pPr>
        <w:spacing w:line="276" w:lineRule="auto" w:after="160" w:before="0"/>
        <w:jc w:val="both"/>
      </w:pPr>
      <w:r>
        <w:rPr>
          <w:rFonts w:ascii="Times New Roman" w:hAnsi="Times New Roman" w:cs="Times New Roman" w:eastAsia="Times New Roman"/>
          <w:b w:val="0"/>
          <w:i w:val="0"/>
          <w:sz w:val="24"/>
        </w:rPr>
        <w:t>Existing tooling only partially addresses this. Static scanners such as Checkov, tfsec, Open Policy Agent and HashiCorp Sentinel are valuable, but each enforces a fixed library of rules that somebody has already written. They cannot evaluate a resource against an architectural principle that was never converted into a rule, and they must be maintained separately for each cloud provider.</w:t>
      </w:r>
    </w:p>
    <w:p>
      <w:pPr>
        <w:spacing w:line="276" w:lineRule="auto" w:after="160" w:before="0"/>
        <w:jc w:val="both"/>
      </w:pPr>
      <w:r>
        <w:rPr>
          <w:rFonts w:ascii="Times New Roman" w:hAnsi="Times New Roman" w:cs="Times New Roman" w:eastAsia="Times New Roman"/>
          <w:b w:val="0"/>
          <w:i w:val="0"/>
          <w:sz w:val="24"/>
        </w:rPr>
        <w:t>This gap is the motivation for the project. If CAF and WAF guidance can be made machine-readable and reasoned over automatically at the precise moment before infrastructure is created, then a broad class of governance and security failures can be prevented rather than detected after the fact - before any cost is incurred and before any resource is exposed.</w:t>
      </w:r>
    </w:p>
    <w:p>
      <w:pPr>
        <w:spacing w:line="360" w:lineRule="auto" w:after="120" w:before="200"/>
      </w:pPr>
      <w:r>
        <w:rPr>
          <w:rFonts w:ascii="Times New Roman" w:hAnsi="Times New Roman" w:cs="Times New Roman" w:eastAsia="Times New Roman"/>
          <w:b/>
          <w:i w:val="0"/>
          <w:sz w:val="26"/>
        </w:rPr>
        <w:t>1.3 Scope of the Project</w:t>
      </w:r>
    </w:p>
    <w:p>
      <w:pPr>
        <w:spacing w:line="276" w:lineRule="auto" w:after="160" w:before="0"/>
        <w:jc w:val="both"/>
      </w:pPr>
      <w:r>
        <w:rPr>
          <w:rFonts w:ascii="Times New Roman" w:hAnsi="Times New Roman" w:cs="Times New Roman" w:eastAsia="Times New Roman"/>
          <w:b w:val="0"/>
          <w:i w:val="0"/>
          <w:sz w:val="24"/>
        </w:rPr>
        <w:t>The project delivers a working proof-of-concept compliance gate that operates on Terraform plan output inside a GitHub Actions pipeline. Its scope covers the parsing and normalisation of Terraform plan JSON, a deterministic rule engine covering the CAF governance areas and all six WAF pillars, a reasoning layer that evaluates resources against retrieved framework guidance, an organisational policy layer with severity thresholds and expiring waivers, and report generation in Markdown, JSON and SARIF formats.</w:t>
      </w:r>
    </w:p>
    <w:p>
      <w:pPr>
        <w:spacing w:line="276" w:lineRule="auto" w:after="160" w:before="0"/>
        <w:jc w:val="both"/>
      </w:pPr>
      <w:r>
        <w:rPr>
          <w:rFonts w:ascii="Times New Roman" w:hAnsi="Times New Roman" w:cs="Times New Roman" w:eastAsia="Times New Roman"/>
          <w:b w:val="0"/>
          <w:i w:val="0"/>
          <w:sz w:val="24"/>
        </w:rPr>
        <w:t>The gate logic is deliberately cloud-agnostic. Provider-specific resource types from Azure, AWS and GCP are mapped onto a common set of canonical resource kinds so that a single rule applies across all three clouds. Validation is performed against a labelled corpus of seeded misconfigurations and against a live Azure deployment.</w:t>
      </w:r>
    </w:p>
    <w:p>
      <w:pPr>
        <w:spacing w:line="276" w:lineRule="auto" w:after="160" w:before="0"/>
        <w:jc w:val="both"/>
      </w:pPr>
      <w:r>
        <w:rPr>
          <w:rFonts w:ascii="Times New Roman" w:hAnsi="Times New Roman" w:cs="Times New Roman" w:eastAsia="Times New Roman"/>
          <w:b w:val="0"/>
          <w:i w:val="0"/>
          <w:sz w:val="24"/>
        </w:rPr>
        <w:t>The following are explicitly outside scope: runtime or post-deployment monitoring, remediation of resources that already exist, support for IaC languages other than Terraform, and production-scale performance engineering. The deliverable is a validated prototype at Technology Readiness Level 4, not a commercially hardened product.</w:t>
      </w:r>
    </w:p>
    <w:p>
      <w:r>
        <w:br w:type="page"/>
      </w:r>
    </w:p>
    <w:p>
      <w:pPr>
        <w:spacing w:line="360" w:lineRule="auto" w:after="160" w:before="240"/>
      </w:pPr>
      <w:r>
        <w:rPr>
          <w:rFonts w:ascii="Times New Roman" w:hAnsi="Times New Roman" w:cs="Times New Roman" w:eastAsia="Times New Roman"/>
          <w:b/>
          <w:i w:val="0"/>
          <w:sz w:val="28"/>
        </w:rPr>
        <w:t>2. PROJECT DESCRIPTION AND GOALS</w:t>
      </w:r>
    </w:p>
    <w:p>
      <w:pPr>
        <w:spacing w:line="360" w:lineRule="auto" w:after="120" w:before="200"/>
      </w:pPr>
      <w:r>
        <w:rPr>
          <w:rFonts w:ascii="Times New Roman" w:hAnsi="Times New Roman" w:cs="Times New Roman" w:eastAsia="Times New Roman"/>
          <w:b/>
          <w:i w:val="0"/>
          <w:sz w:val="26"/>
        </w:rPr>
        <w:t>2.1 Literature Review</w:t>
      </w:r>
    </w:p>
    <w:p>
      <w:pPr>
        <w:spacing w:line="276" w:lineRule="auto" w:after="160" w:before="0"/>
        <w:jc w:val="both"/>
      </w:pPr>
      <w:r>
        <w:rPr>
          <w:rFonts w:ascii="Times New Roman" w:hAnsi="Times New Roman" w:cs="Times New Roman" w:eastAsia="Times New Roman"/>
          <w:b w:val="0"/>
          <w:i w:val="0"/>
          <w:sz w:val="24"/>
        </w:rPr>
        <w:t>The literature relevant to this project falls into three streams: empirical studies of defects in Infrastructure as Code, static analysis and policy-as-code tooling, and the emerging application of large language models to configuration and code security.</w:t>
      </w:r>
    </w:p>
    <w:p>
      <w:pPr>
        <w:spacing w:line="360" w:lineRule="auto" w:after="80" w:before="160"/>
      </w:pPr>
      <w:r>
        <w:rPr>
          <w:rFonts w:ascii="Times New Roman" w:hAnsi="Times New Roman" w:cs="Times New Roman" w:eastAsia="Times New Roman"/>
          <w:b/>
          <w:i/>
          <w:sz w:val="24"/>
        </w:rPr>
        <w:t>A. Security and Quality Defects in Infrastructure as Code</w:t>
      </w:r>
    </w:p>
    <w:p>
      <w:pPr>
        <w:spacing w:line="276" w:lineRule="auto" w:after="160" w:before="0"/>
        <w:jc w:val="both"/>
      </w:pPr>
      <w:r>
        <w:rPr>
          <w:rFonts w:ascii="Times New Roman" w:hAnsi="Times New Roman" w:cs="Times New Roman" w:eastAsia="Times New Roman"/>
          <w:b w:val="0"/>
          <w:i w:val="0"/>
          <w:sz w:val="24"/>
        </w:rPr>
        <w:t>Rahman, Parnin and Williams [1] established the foundational empirical result in this area with their study of security smells in IaC scripts, identifying seven recurring insecure coding patterns - including hard-coded secrets, use of HTTP without TLS, and overly permissive access - across a large corpus of Puppet scripts. Their subsequent replication study across Ansible and Chef [2] confirmed that these patterns generalise beyond a single IaC language, which supports the cloud-agnostic design adopted in this project.</w:t>
      </w:r>
    </w:p>
    <w:p>
      <w:pPr>
        <w:spacing w:line="276" w:lineRule="auto" w:after="160" w:before="0"/>
        <w:jc w:val="both"/>
      </w:pPr>
      <w:r>
        <w:rPr>
          <w:rFonts w:ascii="Times New Roman" w:hAnsi="Times New Roman" w:cs="Times New Roman" w:eastAsia="Times New Roman"/>
          <w:b w:val="0"/>
          <w:i w:val="0"/>
          <w:sz w:val="24"/>
        </w:rPr>
        <w:t>Guerriero et al. [3] surveyed industrial practitioners and reported that, while IaC adoption is widespread, tooling for quality assurance and compliance verification lags well behind adoption, and that practitioners rely heavily on manual review. Bhuiyan and Rahman [4] further characterised how insecure patterns cluster together within the same scripts, indicating that a single defective module frequently violates several principles at once - an observation reflected in the grouped, per-resource reporting used in this work.</w:t>
      </w:r>
    </w:p>
    <w:p>
      <w:pPr>
        <w:spacing w:line="276" w:lineRule="auto" w:after="160" w:before="0"/>
        <w:jc w:val="both"/>
      </w:pPr>
      <w:r>
        <w:rPr>
          <w:rFonts w:ascii="Times New Roman" w:hAnsi="Times New Roman" w:cs="Times New Roman" w:eastAsia="Times New Roman"/>
          <w:b w:val="0"/>
          <w:i w:val="0"/>
          <w:sz w:val="24"/>
        </w:rPr>
        <w:t>Opdebeeck, Zerouali and De Roover [5] examined variable-related smells in Ansible, and Saavedra and Ferreira [6] proposed GLITCH, a polyglot intermediate representation enabling security smell detection across multiple IaC technologies. GLITCH is particularly relevant here: its central insight - that normalising heterogeneous IaC into a common representation allows one analysis to serve many technologies - is the same insight underpinning the canonical resource model described in Section 4.1.</w:t>
      </w:r>
    </w:p>
    <w:p>
      <w:pPr>
        <w:spacing w:line="360" w:lineRule="auto" w:after="80" w:before="160"/>
      </w:pPr>
      <w:r>
        <w:rPr>
          <w:rFonts w:ascii="Times New Roman" w:hAnsi="Times New Roman" w:cs="Times New Roman" w:eastAsia="Times New Roman"/>
          <w:b/>
          <w:i/>
          <w:sz w:val="24"/>
        </w:rPr>
        <w:t>B. Static Analysis and Policy-as-Code Tooling</w:t>
      </w:r>
    </w:p>
    <w:p>
      <w:pPr>
        <w:spacing w:line="276" w:lineRule="auto" w:after="160" w:before="0"/>
        <w:jc w:val="both"/>
      </w:pPr>
      <w:r>
        <w:rPr>
          <w:rFonts w:ascii="Times New Roman" w:hAnsi="Times New Roman" w:cs="Times New Roman" w:eastAsia="Times New Roman"/>
          <w:b w:val="0"/>
          <w:i w:val="0"/>
          <w:sz w:val="24"/>
        </w:rPr>
        <w:t>Chiari, De Pascalis and Pradella [7] surveyed static analysis techniques for IaC and classified the available tools by the defect classes they target. Their survey makes clear that the overwhelming majority of production tooling is rule-based: correctness is defined by an explicit, hand-authored predicate. Sandobalin, Insfran and Abrahao [8] compared model-driven and code-centric approaches to IaC support and found that both improve reliability but neither reasons about architectural intent.</w:t>
      </w:r>
    </w:p>
    <w:p>
      <w:pPr>
        <w:spacing w:line="276" w:lineRule="auto" w:after="160" w:before="0"/>
        <w:jc w:val="both"/>
      </w:pPr>
      <w:r>
        <w:rPr>
          <w:rFonts w:ascii="Times New Roman" w:hAnsi="Times New Roman" w:cs="Times New Roman" w:eastAsia="Times New Roman"/>
          <w:b w:val="0"/>
          <w:i w:val="0"/>
          <w:sz w:val="24"/>
        </w:rPr>
        <w:t>In industrial practice, four tools dominate. Checkov and tfsec perform static scanning of IaC source using rule libraries authored in Python and YAML. Open Policy Agent [12] provides a general-purpose policy engine in which rules are expressed in the Rego language and evaluated against arbitrary JSON input. HashiCorp Sentinel [13] provides policy-as-code within the Terraform Cloud and Enterprise ecosystem. Table 1 summarises their characteristics relative to the present work.</w:t>
      </w:r>
    </w:p>
    <w:p>
      <w:pPr>
        <w:spacing w:line="276" w:lineRule="auto" w:after="40" w:before="0"/>
      </w:pP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944"/>
          </w:tcPr>
          <w:p>
            <w:pPr>
              <w:spacing w:after="40"/>
              <w:jc w:val="center"/>
            </w:pPr>
            <w:r/>
            <w:r>
              <w:rPr>
                <w:rFonts w:ascii="Times New Roman" w:hAnsi="Times New Roman" w:cs="Times New Roman" w:eastAsia="Times New Roman"/>
                <w:b/>
                <w:i w:val="0"/>
                <w:sz w:val="20"/>
              </w:rPr>
              <w:t>Tool</w:t>
            </w:r>
          </w:p>
        </w:tc>
        <w:tc>
          <w:tcPr>
            <w:tcW w:type="dxa" w:w="2232"/>
          </w:tcPr>
          <w:p>
            <w:pPr>
              <w:spacing w:after="40"/>
              <w:jc w:val="center"/>
            </w:pPr>
            <w:r/>
            <w:r>
              <w:rPr>
                <w:rFonts w:ascii="Times New Roman" w:hAnsi="Times New Roman" w:cs="Times New Roman" w:eastAsia="Times New Roman"/>
                <w:b/>
                <w:i w:val="0"/>
                <w:sz w:val="20"/>
              </w:rPr>
              <w:t>Scope</w:t>
            </w:r>
          </w:p>
        </w:tc>
        <w:tc>
          <w:tcPr>
            <w:tcW w:type="dxa" w:w="2520"/>
          </w:tcPr>
          <w:p>
            <w:pPr>
              <w:spacing w:after="40"/>
              <w:jc w:val="center"/>
            </w:pPr>
            <w:r/>
            <w:r>
              <w:rPr>
                <w:rFonts w:ascii="Times New Roman" w:hAnsi="Times New Roman" w:cs="Times New Roman" w:eastAsia="Times New Roman"/>
                <w:b/>
                <w:i w:val="0"/>
                <w:sz w:val="20"/>
              </w:rPr>
              <w:t>Decision basis</w:t>
            </w:r>
          </w:p>
        </w:tc>
        <w:tc>
          <w:tcPr>
            <w:tcW w:type="dxa" w:w="2664"/>
          </w:tcPr>
          <w:p>
            <w:pPr>
              <w:spacing w:after="40"/>
              <w:jc w:val="center"/>
            </w:pPr>
            <w:r/>
            <w:r>
              <w:rPr>
                <w:rFonts w:ascii="Times New Roman" w:hAnsi="Times New Roman" w:cs="Times New Roman" w:eastAsia="Times New Roman"/>
                <w:b/>
                <w:i w:val="0"/>
                <w:sz w:val="20"/>
              </w:rPr>
              <w:t>Principal limitation</w:t>
            </w:r>
          </w:p>
        </w:tc>
      </w:tr>
      <w:tr>
        <w:tc>
          <w:tcPr>
            <w:tcW w:type="dxa" w:w="1944"/>
          </w:tcPr>
          <w:p>
            <w:pPr>
              <w:spacing w:after="40" w:line="240" w:lineRule="auto"/>
            </w:pPr>
            <w:r/>
            <w:r>
              <w:rPr>
                <w:rFonts w:ascii="Times New Roman" w:hAnsi="Times New Roman" w:cs="Times New Roman" w:eastAsia="Times New Roman"/>
                <w:b w:val="0"/>
                <w:i w:val="0"/>
                <w:sz w:val="20"/>
              </w:rPr>
              <w:t>Checkov / tfsec</w:t>
            </w:r>
          </w:p>
        </w:tc>
        <w:tc>
          <w:tcPr>
            <w:tcW w:type="dxa" w:w="2232"/>
          </w:tcPr>
          <w:p>
            <w:pPr>
              <w:spacing w:after="40" w:line="240" w:lineRule="auto"/>
            </w:pPr>
            <w:r/>
            <w:r>
              <w:rPr>
                <w:rFonts w:ascii="Times New Roman" w:hAnsi="Times New Roman" w:cs="Times New Roman" w:eastAsia="Times New Roman"/>
                <w:b w:val="0"/>
                <w:i w:val="0"/>
                <w:sz w:val="20"/>
              </w:rPr>
              <w:t>Static IaC scanning</w:t>
            </w:r>
          </w:p>
        </w:tc>
        <w:tc>
          <w:tcPr>
            <w:tcW w:type="dxa" w:w="2520"/>
          </w:tcPr>
          <w:p>
            <w:pPr>
              <w:spacing w:after="40" w:line="240" w:lineRule="auto"/>
            </w:pPr>
            <w:r/>
            <w:r>
              <w:rPr>
                <w:rFonts w:ascii="Times New Roman" w:hAnsi="Times New Roman" w:cs="Times New Roman" w:eastAsia="Times New Roman"/>
                <w:b w:val="0"/>
                <w:i w:val="0"/>
                <w:sz w:val="20"/>
              </w:rPr>
              <w:t>Pre-written rules (Python / YAML)</w:t>
            </w:r>
          </w:p>
        </w:tc>
        <w:tc>
          <w:tcPr>
            <w:tcW w:type="dxa" w:w="2664"/>
          </w:tcPr>
          <w:p>
            <w:pPr>
              <w:spacing w:after="40" w:line="240" w:lineRule="auto"/>
            </w:pPr>
            <w:r/>
            <w:r>
              <w:rPr>
                <w:rFonts w:ascii="Times New Roman" w:hAnsi="Times New Roman" w:cs="Times New Roman" w:eastAsia="Times New Roman"/>
                <w:b w:val="0"/>
                <w:i w:val="0"/>
                <w:sz w:val="20"/>
              </w:rPr>
              <w:t>Fixed rule library; no framework reasoning</w:t>
            </w:r>
          </w:p>
        </w:tc>
      </w:tr>
      <w:tr>
        <w:tc>
          <w:tcPr>
            <w:tcW w:type="dxa" w:w="1944"/>
          </w:tcPr>
          <w:p>
            <w:pPr>
              <w:spacing w:after="40" w:line="240" w:lineRule="auto"/>
            </w:pPr>
            <w:r/>
            <w:r>
              <w:rPr>
                <w:rFonts w:ascii="Times New Roman" w:hAnsi="Times New Roman" w:cs="Times New Roman" w:eastAsia="Times New Roman"/>
                <w:b w:val="0"/>
                <w:i w:val="0"/>
                <w:sz w:val="20"/>
              </w:rPr>
              <w:t>HashiCorp Sentinel</w:t>
            </w:r>
          </w:p>
        </w:tc>
        <w:tc>
          <w:tcPr>
            <w:tcW w:type="dxa" w:w="2232"/>
          </w:tcPr>
          <w:p>
            <w:pPr>
              <w:spacing w:after="40" w:line="240" w:lineRule="auto"/>
            </w:pPr>
            <w:r/>
            <w:r>
              <w:rPr>
                <w:rFonts w:ascii="Times New Roman" w:hAnsi="Times New Roman" w:cs="Times New Roman" w:eastAsia="Times New Roman"/>
                <w:b w:val="0"/>
                <w:i w:val="0"/>
                <w:sz w:val="20"/>
              </w:rPr>
              <w:t>Terraform Cloud / Enterprise</w:t>
            </w:r>
          </w:p>
        </w:tc>
        <w:tc>
          <w:tcPr>
            <w:tcW w:type="dxa" w:w="2520"/>
          </w:tcPr>
          <w:p>
            <w:pPr>
              <w:spacing w:after="40" w:line="240" w:lineRule="auto"/>
            </w:pPr>
            <w:r/>
            <w:r>
              <w:rPr>
                <w:rFonts w:ascii="Times New Roman" w:hAnsi="Times New Roman" w:cs="Times New Roman" w:eastAsia="Times New Roman"/>
                <w:b w:val="0"/>
                <w:i w:val="0"/>
                <w:sz w:val="20"/>
              </w:rPr>
              <w:t>Hand-authored Sentinel policies</w:t>
            </w:r>
          </w:p>
        </w:tc>
        <w:tc>
          <w:tcPr>
            <w:tcW w:type="dxa" w:w="2664"/>
          </w:tcPr>
          <w:p>
            <w:pPr>
              <w:spacing w:after="40" w:line="240" w:lineRule="auto"/>
            </w:pPr>
            <w:r/>
            <w:r>
              <w:rPr>
                <w:rFonts w:ascii="Times New Roman" w:hAnsi="Times New Roman" w:cs="Times New Roman" w:eastAsia="Times New Roman"/>
                <w:b w:val="0"/>
                <w:i w:val="0"/>
                <w:sz w:val="20"/>
              </w:rPr>
              <w:t>Vendor-locked; policies authored per organisation</w:t>
            </w:r>
          </w:p>
        </w:tc>
      </w:tr>
      <w:tr>
        <w:tc>
          <w:tcPr>
            <w:tcW w:type="dxa" w:w="1944"/>
          </w:tcPr>
          <w:p>
            <w:pPr>
              <w:spacing w:after="40" w:line="240" w:lineRule="auto"/>
            </w:pPr>
            <w:r/>
            <w:r>
              <w:rPr>
                <w:rFonts w:ascii="Times New Roman" w:hAnsi="Times New Roman" w:cs="Times New Roman" w:eastAsia="Times New Roman"/>
                <w:b w:val="0"/>
                <w:i w:val="0"/>
                <w:sz w:val="20"/>
              </w:rPr>
              <w:t>Open Policy Agent</w:t>
            </w:r>
          </w:p>
        </w:tc>
        <w:tc>
          <w:tcPr>
            <w:tcW w:type="dxa" w:w="2232"/>
          </w:tcPr>
          <w:p>
            <w:pPr>
              <w:spacing w:after="40" w:line="240" w:lineRule="auto"/>
            </w:pPr>
            <w:r/>
            <w:r>
              <w:rPr>
                <w:rFonts w:ascii="Times New Roman" w:hAnsi="Times New Roman" w:cs="Times New Roman" w:eastAsia="Times New Roman"/>
                <w:b w:val="0"/>
                <w:i w:val="0"/>
                <w:sz w:val="20"/>
              </w:rPr>
              <w:t>General purpose (K8s, IaC, APIs)</w:t>
            </w:r>
          </w:p>
        </w:tc>
        <w:tc>
          <w:tcPr>
            <w:tcW w:type="dxa" w:w="2520"/>
          </w:tcPr>
          <w:p>
            <w:pPr>
              <w:spacing w:after="40" w:line="240" w:lineRule="auto"/>
            </w:pPr>
            <w:r/>
            <w:r>
              <w:rPr>
                <w:rFonts w:ascii="Times New Roman" w:hAnsi="Times New Roman" w:cs="Times New Roman" w:eastAsia="Times New Roman"/>
                <w:b w:val="0"/>
                <w:i w:val="0"/>
                <w:sz w:val="20"/>
              </w:rPr>
              <w:t>Rego rules over JSON input</w:t>
            </w:r>
          </w:p>
        </w:tc>
        <w:tc>
          <w:tcPr>
            <w:tcW w:type="dxa" w:w="2664"/>
          </w:tcPr>
          <w:p>
            <w:pPr>
              <w:spacing w:after="40" w:line="240" w:lineRule="auto"/>
            </w:pPr>
            <w:r/>
            <w:r>
              <w:rPr>
                <w:rFonts w:ascii="Times New Roman" w:hAnsi="Times New Roman" w:cs="Times New Roman" w:eastAsia="Times New Roman"/>
                <w:b w:val="0"/>
                <w:i w:val="0"/>
                <w:sz w:val="20"/>
              </w:rPr>
              <w:t>Steep learning curve; rules still hand-written</w:t>
            </w:r>
          </w:p>
        </w:tc>
      </w:tr>
      <w:tr>
        <w:tc>
          <w:tcPr>
            <w:tcW w:type="dxa" w:w="1944"/>
          </w:tcPr>
          <w:p>
            <w:pPr>
              <w:spacing w:after="40" w:line="240" w:lineRule="auto"/>
            </w:pPr>
            <w:r/>
            <w:r>
              <w:rPr>
                <w:rFonts w:ascii="Times New Roman" w:hAnsi="Times New Roman" w:cs="Times New Roman" w:eastAsia="Times New Roman"/>
                <w:b w:val="0"/>
                <w:i w:val="0"/>
                <w:sz w:val="20"/>
              </w:rPr>
              <w:t>Agent SecOps (this work)</w:t>
            </w:r>
          </w:p>
        </w:tc>
        <w:tc>
          <w:tcPr>
            <w:tcW w:type="dxa" w:w="2232"/>
          </w:tcPr>
          <w:p>
            <w:pPr>
              <w:spacing w:after="40" w:line="240" w:lineRule="auto"/>
            </w:pPr>
            <w:r/>
            <w:r>
              <w:rPr>
                <w:rFonts w:ascii="Times New Roman" w:hAnsi="Times New Roman" w:cs="Times New Roman" w:eastAsia="Times New Roman"/>
                <w:b w:val="0"/>
                <w:i w:val="0"/>
                <w:sz w:val="20"/>
              </w:rPr>
              <w:t>Terraform -&gt; any CI/CD -&gt; any cloud</w:t>
            </w:r>
          </w:p>
        </w:tc>
        <w:tc>
          <w:tcPr>
            <w:tcW w:type="dxa" w:w="2520"/>
          </w:tcPr>
          <w:p>
            <w:pPr>
              <w:spacing w:after="40" w:line="240" w:lineRule="auto"/>
            </w:pPr>
            <w:r/>
            <w:r>
              <w:rPr>
                <w:rFonts w:ascii="Times New Roman" w:hAnsi="Times New Roman" w:cs="Times New Roman" w:eastAsia="Times New Roman"/>
                <w:b w:val="0"/>
                <w:i w:val="0"/>
                <w:sz w:val="20"/>
              </w:rPr>
              <w:t>Deterministic rules + reasoning over CAF/WAF pillars</w:t>
            </w:r>
          </w:p>
        </w:tc>
        <w:tc>
          <w:tcPr>
            <w:tcW w:type="dxa" w:w="2664"/>
          </w:tcPr>
          <w:p>
            <w:pPr>
              <w:spacing w:after="40" w:line="240" w:lineRule="auto"/>
            </w:pPr>
            <w:r/>
            <w:r>
              <w:rPr>
                <w:rFonts w:ascii="Times New Roman" w:hAnsi="Times New Roman" w:cs="Times New Roman" w:eastAsia="Times New Roman"/>
                <w:b w:val="0"/>
                <w:i w:val="0"/>
                <w:sz w:val="20"/>
              </w:rPr>
              <w:t>Proof-of-concept stage; reasoning layer advisory by default</w:t>
            </w:r>
          </w:p>
        </w:tc>
      </w:tr>
    </w:tbl>
    <w:p>
      <w:pPr>
        <w:spacing w:line="276" w:lineRule="auto" w:after="40" w:before="0"/>
      </w:pPr>
    </w:p>
    <w:p>
      <w:pPr>
        <w:spacing w:line="240" w:lineRule="auto" w:after="200" w:before="80"/>
        <w:jc w:val="center"/>
      </w:pPr>
      <w:r>
        <w:rPr>
          <w:rFonts w:ascii="Times New Roman" w:hAnsi="Times New Roman" w:cs="Times New Roman" w:eastAsia="Times New Roman"/>
          <w:b w:val="0"/>
          <w:i w:val="0"/>
          <w:sz w:val="22"/>
        </w:rPr>
        <w:t>Table 1. Comparison of policy-as-code tooling with the proposed approach</w:t>
      </w:r>
    </w:p>
    <w:p>
      <w:pPr>
        <w:spacing w:line="360" w:lineRule="auto" w:after="80" w:before="160"/>
      </w:pPr>
      <w:r>
        <w:rPr>
          <w:rFonts w:ascii="Times New Roman" w:hAnsi="Times New Roman" w:cs="Times New Roman" w:eastAsia="Times New Roman"/>
          <w:b/>
          <w:i/>
          <w:sz w:val="24"/>
        </w:rPr>
        <w:t>C. Large Language Models for Configuration and Code Security</w:t>
      </w:r>
    </w:p>
    <w:p>
      <w:pPr>
        <w:spacing w:line="276" w:lineRule="auto" w:after="160" w:before="0"/>
        <w:jc w:val="both"/>
      </w:pPr>
      <w:r>
        <w:rPr>
          <w:rFonts w:ascii="Times New Roman" w:hAnsi="Times New Roman" w:cs="Times New Roman" w:eastAsia="Times New Roman"/>
          <w:b w:val="0"/>
          <w:i w:val="0"/>
          <w:sz w:val="24"/>
        </w:rPr>
        <w:t>The application of large language models to code has advanced rapidly since Chen et al. [9] demonstrated competent program synthesis from natural-language specifications, and since Brown et al. [10] established that sufficiently large models perform useful tasks from few examples. Lewis et al. [11] introduced retrieval-augmented generation, in which a model is supplied with retrieved documents relevant to the query rather than relying solely on parametric knowledge. This technique is directly applicable to framework compliance, where the authoritative guidance is documentary.</w:t>
      </w:r>
    </w:p>
    <w:p>
      <w:pPr>
        <w:spacing w:line="276" w:lineRule="auto" w:after="160" w:before="0"/>
        <w:jc w:val="both"/>
      </w:pPr>
      <w:r>
        <w:rPr>
          <w:rFonts w:ascii="Times New Roman" w:hAnsi="Times New Roman" w:cs="Times New Roman" w:eastAsia="Times New Roman"/>
          <w:b w:val="0"/>
          <w:i w:val="0"/>
          <w:sz w:val="24"/>
        </w:rPr>
        <w:t>Security outcomes from model-generated code are, however, not automatically favourable. Pearce et al. [14] showed that a significant proportion of code produced by GitHub Copilot in security-sensitive contexts contained exploitable weaknesses. This finding directly motivates a central design decision in the present work: the reasoning layer is advisory by default and cannot, without explicit organisational opt-in, cause a deployment to be blocked.</w:t>
      </w:r>
    </w:p>
    <w:p>
      <w:pPr>
        <w:spacing w:line="276" w:lineRule="auto" w:after="160" w:before="0"/>
        <w:jc w:val="both"/>
      </w:pPr>
      <w:r>
        <w:rPr>
          <w:rFonts w:ascii="Times New Roman" w:hAnsi="Times New Roman" w:cs="Times New Roman" w:eastAsia="Times New Roman"/>
          <w:b w:val="0"/>
          <w:i w:val="0"/>
          <w:sz w:val="24"/>
        </w:rPr>
        <w:t>Two recent studies establish the immediate precedent for this project. Malul et al. [15] proposed GenKubeSec, an LLM-based system for detecting, localising, reasoning about and remediating Kubernetes misconfigurations, reporting detection performance competitive with and in places superior to established rule-based scanners. Vo, Dao and Fukuda [16] applied large language models to code smell detection specifically in Terraform IaC and likewise reported that models identify defect classes that rule-based tooling does not cover.</w:t>
      </w:r>
    </w:p>
    <w:p>
      <w:pPr>
        <w:spacing w:line="276" w:lineRule="auto" w:after="160" w:before="0"/>
        <w:jc w:val="both"/>
      </w:pPr>
      <w:r>
        <w:rPr>
          <w:rFonts w:ascii="Times New Roman" w:hAnsi="Times New Roman" w:cs="Times New Roman" w:eastAsia="Times New Roman"/>
          <w:b w:val="0"/>
          <w:i w:val="0"/>
          <w:sz w:val="24"/>
        </w:rPr>
        <w:t>Both studies analyse IaC source artefacts in isolation. Neither embeds the model as an enforcing gate within a deployment pipeline, neither evaluates against a published governance framework such as CAF or WAF, and neither addresses the multi-cloud case. That combination defines the gap this project addresses.</w:t>
      </w:r>
    </w:p>
    <w:p>
      <w:pPr>
        <w:spacing w:line="360" w:lineRule="auto" w:after="120" w:before="200"/>
      </w:pPr>
      <w:r>
        <w:rPr>
          <w:rFonts w:ascii="Times New Roman" w:hAnsi="Times New Roman" w:cs="Times New Roman" w:eastAsia="Times New Roman"/>
          <w:b/>
          <w:i w:val="0"/>
          <w:sz w:val="26"/>
        </w:rPr>
        <w:t>2.2 Research Gap</w:t>
      </w:r>
    </w:p>
    <w:p>
      <w:pPr>
        <w:spacing w:line="276" w:lineRule="auto" w:after="160" w:before="0"/>
        <w:jc w:val="both"/>
      </w:pPr>
      <w:r>
        <w:rPr>
          <w:rFonts w:ascii="Times New Roman" w:hAnsi="Times New Roman" w:cs="Times New Roman" w:eastAsia="Times New Roman"/>
          <w:b w:val="0"/>
          <w:i w:val="0"/>
          <w:sz w:val="24"/>
        </w:rPr>
        <w:t>Synthesising the literature reviewed above, four specific gaps are identified.</w:t>
      </w:r>
    </w:p>
    <w:p>
      <w:pPr>
        <w:pStyle w:val="ListBullet"/>
        <w:spacing w:line="276" w:lineRule="auto" w:after="80"/>
        <w:ind w:left="504"/>
      </w:pPr>
      <w:r>
        <w:rPr>
          <w:rFonts w:ascii="Times New Roman" w:hAnsi="Times New Roman" w:cs="Times New Roman" w:eastAsia="Times New Roman"/>
          <w:b/>
          <w:i w:val="0"/>
          <w:sz w:val="24"/>
        </w:rPr>
        <w:t xml:space="preserve">Rule-bound detection. </w:t>
      </w:r>
      <w:r>
        <w:rPr>
          <w:rFonts w:ascii="Times New Roman" w:hAnsi="Times New Roman" w:cs="Times New Roman" w:eastAsia="Times New Roman"/>
          <w:b w:val="0"/>
          <w:i w:val="0"/>
          <w:sz w:val="24"/>
        </w:rPr>
        <w:t>Static policy-as-code tools detect violations only of rules that have already been hand-authored. Framework guidance that was never codified into an explicit predicate is invisible to them, and each cloud provider requires a separately maintained rule set.</w:t>
      </w:r>
    </w:p>
    <w:p>
      <w:pPr>
        <w:pStyle w:val="ListBullet"/>
        <w:spacing w:line="276" w:lineRule="auto" w:after="80"/>
        <w:ind w:left="504"/>
      </w:pPr>
      <w:r>
        <w:rPr>
          <w:rFonts w:ascii="Times New Roman" w:hAnsi="Times New Roman" w:cs="Times New Roman" w:eastAsia="Times New Roman"/>
          <w:b/>
          <w:i w:val="0"/>
          <w:sz w:val="24"/>
        </w:rPr>
        <w:t xml:space="preserve">Analysis without enforcement. </w:t>
      </w:r>
      <w:r>
        <w:rPr>
          <w:rFonts w:ascii="Times New Roman" w:hAnsi="Times New Roman" w:cs="Times New Roman" w:eastAsia="Times New Roman"/>
          <w:b w:val="0"/>
          <w:i w:val="0"/>
          <w:sz w:val="24"/>
        </w:rPr>
        <w:t>Recent LLM-based work (GenKubeSec [15]; Vo et al. [16]) demonstrates that models can out-detect rule-based scanners for Kubernetes manifests and Terraform source respectively, but operates on static artefacts rather than as an enforcing control inside a CI/CD pipeline.</w:t>
      </w:r>
    </w:p>
    <w:p>
      <w:pPr>
        <w:pStyle w:val="ListBullet"/>
        <w:spacing w:line="276" w:lineRule="auto" w:after="80"/>
        <w:ind w:left="504"/>
      </w:pPr>
      <w:r>
        <w:rPr>
          <w:rFonts w:ascii="Times New Roman" w:hAnsi="Times New Roman" w:cs="Times New Roman" w:eastAsia="Times New Roman"/>
          <w:b/>
          <w:i w:val="0"/>
          <w:sz w:val="24"/>
        </w:rPr>
        <w:t xml:space="preserve">Absence of framework grounding. </w:t>
      </w:r>
      <w:r>
        <w:rPr>
          <w:rFonts w:ascii="Times New Roman" w:hAnsi="Times New Roman" w:cs="Times New Roman" w:eastAsia="Times New Roman"/>
          <w:b w:val="0"/>
          <w:i w:val="0"/>
          <w:sz w:val="24"/>
        </w:rPr>
        <w:t>No existing study evaluates IaC changes against the specific governance structure of Microsoft's Cloud Adoption Framework and Well-Architected Framework, mapping each finding to the pillar it violates.</w:t>
      </w:r>
    </w:p>
    <w:p>
      <w:pPr>
        <w:pStyle w:val="ListBullet"/>
        <w:spacing w:line="276" w:lineRule="auto" w:after="80"/>
        <w:ind w:left="504"/>
      </w:pPr>
      <w:r>
        <w:rPr>
          <w:rFonts w:ascii="Times New Roman" w:hAnsi="Times New Roman" w:cs="Times New Roman" w:eastAsia="Times New Roman"/>
          <w:b/>
          <w:i w:val="0"/>
          <w:sz w:val="24"/>
        </w:rPr>
        <w:t xml:space="preserve">Single-cloud scope. </w:t>
      </w:r>
      <w:r>
        <w:rPr>
          <w:rFonts w:ascii="Times New Roman" w:hAnsi="Times New Roman" w:cs="Times New Roman" w:eastAsia="Times New Roman"/>
          <w:b w:val="0"/>
          <w:i w:val="0"/>
          <w:sz w:val="24"/>
        </w:rPr>
        <w:t>Prior work is generally single-provider. A gate that normalises Azure, AWS and GCP resources into shared abstractions, so that one rule serves all three, has not been demonstrated.</w:t>
      </w:r>
    </w:p>
    <w:p>
      <w:pPr>
        <w:spacing w:line="276" w:lineRule="auto" w:after="160" w:before="0"/>
        <w:jc w:val="both"/>
      </w:pPr>
      <w:r>
        <w:rPr>
          <w:rFonts w:ascii="Times New Roman" w:hAnsi="Times New Roman" w:cs="Times New Roman" w:eastAsia="Times New Roman"/>
          <w:b w:val="0"/>
          <w:i w:val="0"/>
          <w:sz w:val="24"/>
        </w:rPr>
        <w:t>This project addresses all four: it embeds a reasoning agent directly as a pipeline gate, grounds every finding in a named CAF or WAF pillar, and applies a single cloud-agnostic rule set across three providers.</w:t>
      </w:r>
    </w:p>
    <w:p>
      <w:pPr>
        <w:spacing w:line="360" w:lineRule="auto" w:after="120" w:before="200"/>
      </w:pPr>
      <w:r>
        <w:rPr>
          <w:rFonts w:ascii="Times New Roman" w:hAnsi="Times New Roman" w:cs="Times New Roman" w:eastAsia="Times New Roman"/>
          <w:b/>
          <w:i w:val="0"/>
          <w:sz w:val="26"/>
        </w:rPr>
        <w:t>2.3 Objectives</w:t>
      </w:r>
    </w:p>
    <w:p>
      <w:pPr>
        <w:spacing w:line="276" w:lineRule="auto" w:after="160" w:before="0"/>
        <w:jc w:val="both"/>
      </w:pPr>
      <w:r>
        <w:rPr>
          <w:rFonts w:ascii="Times New Roman" w:hAnsi="Times New Roman" w:cs="Times New Roman" w:eastAsia="Times New Roman"/>
          <w:b w:val="0"/>
          <w:i w:val="0"/>
          <w:sz w:val="24"/>
        </w:rPr>
        <w:t>The project pursues the following specific and measurable objectives.</w:t>
      </w:r>
    </w:p>
    <w:p>
      <w:pPr>
        <w:pStyle w:val="ListBullet"/>
        <w:spacing w:line="276" w:lineRule="auto" w:after="80"/>
        <w:ind w:left="504"/>
      </w:pPr>
      <w:r>
        <w:rPr>
          <w:rFonts w:ascii="Times New Roman" w:hAnsi="Times New Roman" w:cs="Times New Roman" w:eastAsia="Times New Roman"/>
          <w:b/>
          <w:i w:val="0"/>
          <w:sz w:val="24"/>
        </w:rPr>
        <w:t xml:space="preserve">O1. </w:t>
      </w:r>
      <w:r>
        <w:rPr>
          <w:rFonts w:ascii="Times New Roman" w:hAnsi="Times New Roman" w:cs="Times New Roman" w:eastAsia="Times New Roman"/>
          <w:b w:val="0"/>
          <w:i w:val="0"/>
          <w:sz w:val="24"/>
        </w:rPr>
        <w:t>To design and implement an agent that parses Terraform plan JSON and evaluates each proposed resource against CAF governance areas and the WAF pillars, producing a pass, remediate or block verdict.</w:t>
      </w:r>
    </w:p>
    <w:p>
      <w:pPr>
        <w:pStyle w:val="ListBullet"/>
        <w:spacing w:line="276" w:lineRule="auto" w:after="80"/>
        <w:ind w:left="504"/>
      </w:pPr>
      <w:r>
        <w:rPr>
          <w:rFonts w:ascii="Times New Roman" w:hAnsi="Times New Roman" w:cs="Times New Roman" w:eastAsia="Times New Roman"/>
          <w:b/>
          <w:i w:val="0"/>
          <w:sz w:val="24"/>
        </w:rPr>
        <w:t xml:space="preserve">O2. </w:t>
      </w:r>
      <w:r>
        <w:rPr>
          <w:rFonts w:ascii="Times New Roman" w:hAnsi="Times New Roman" w:cs="Times New Roman" w:eastAsia="Times New Roman"/>
          <w:b w:val="0"/>
          <w:i w:val="0"/>
          <w:sz w:val="24"/>
        </w:rPr>
        <w:t>To normalise provider-specific resource types from Azure, AWS and GCP into a canonical resource model so that gate logic remains cloud-agnostic and verifiable by automated test.</w:t>
      </w:r>
    </w:p>
    <w:p>
      <w:pPr>
        <w:pStyle w:val="ListBullet"/>
        <w:spacing w:line="276" w:lineRule="auto" w:after="80"/>
        <w:ind w:left="504"/>
      </w:pPr>
      <w:r>
        <w:rPr>
          <w:rFonts w:ascii="Times New Roman" w:hAnsi="Times New Roman" w:cs="Times New Roman" w:eastAsia="Times New Roman"/>
          <w:b/>
          <w:i w:val="0"/>
          <w:sz w:val="24"/>
        </w:rPr>
        <w:t xml:space="preserve">O3. </w:t>
      </w:r>
      <w:r>
        <w:rPr>
          <w:rFonts w:ascii="Times New Roman" w:hAnsi="Times New Roman" w:cs="Times New Roman" w:eastAsia="Times New Roman"/>
          <w:b w:val="0"/>
          <w:i w:val="0"/>
          <w:sz w:val="24"/>
        </w:rPr>
        <w:t>To implement a policy-aware reasoning layer that retrieves the framework guidance relevant to each resource kind and reports violations of architectural intent that no deterministic rule encodes.</w:t>
      </w:r>
    </w:p>
    <w:p>
      <w:pPr>
        <w:pStyle w:val="ListBullet"/>
        <w:spacing w:line="276" w:lineRule="auto" w:after="80"/>
        <w:ind w:left="504"/>
      </w:pPr>
      <w:r>
        <w:rPr>
          <w:rFonts w:ascii="Times New Roman" w:hAnsi="Times New Roman" w:cs="Times New Roman" w:eastAsia="Times New Roman"/>
          <w:b/>
          <w:i w:val="0"/>
          <w:sz w:val="24"/>
        </w:rPr>
        <w:t xml:space="preserve">O4. </w:t>
      </w:r>
      <w:r>
        <w:rPr>
          <w:rFonts w:ascii="Times New Roman" w:hAnsi="Times New Roman" w:cs="Times New Roman" w:eastAsia="Times New Roman"/>
          <w:b w:val="0"/>
          <w:i w:val="0"/>
          <w:sz w:val="24"/>
        </w:rPr>
        <w:t>To integrate the agent as an enforcing gate within a GitHub Actions workflow such that terraform apply is unreachable when the verdict is block, and a human-readable compliance report is published to the pull request.</w:t>
      </w:r>
    </w:p>
    <w:p>
      <w:pPr>
        <w:pStyle w:val="ListBullet"/>
        <w:spacing w:line="276" w:lineRule="auto" w:after="80"/>
        <w:ind w:left="504"/>
      </w:pPr>
      <w:r>
        <w:rPr>
          <w:rFonts w:ascii="Times New Roman" w:hAnsi="Times New Roman" w:cs="Times New Roman" w:eastAsia="Times New Roman"/>
          <w:b/>
          <w:i w:val="0"/>
          <w:sz w:val="24"/>
        </w:rPr>
        <w:t xml:space="preserve">O5. </w:t>
      </w:r>
      <w:r>
        <w:rPr>
          <w:rFonts w:ascii="Times New Roman" w:hAnsi="Times New Roman" w:cs="Times New Roman" w:eastAsia="Times New Roman"/>
          <w:b w:val="0"/>
          <w:i w:val="0"/>
          <w:sz w:val="24"/>
        </w:rPr>
        <w:t>To quantify effectiveness against a labelled corpus of seeded misconfigurations, reporting detection rate, false-positive rate on compliant infrastructure, and the marginal contribution of the reasoning layer over deterministic rules alone.</w:t>
      </w:r>
    </w:p>
    <w:p>
      <w:pPr>
        <w:pStyle w:val="ListBullet"/>
        <w:spacing w:line="276" w:lineRule="auto" w:after="80"/>
        <w:ind w:left="504"/>
      </w:pPr>
      <w:r>
        <w:rPr>
          <w:rFonts w:ascii="Times New Roman" w:hAnsi="Times New Roman" w:cs="Times New Roman" w:eastAsia="Times New Roman"/>
          <w:b/>
          <w:i w:val="0"/>
          <w:sz w:val="24"/>
        </w:rPr>
        <w:t xml:space="preserve">O6. </w:t>
      </w:r>
      <w:r>
        <w:rPr>
          <w:rFonts w:ascii="Times New Roman" w:hAnsi="Times New Roman" w:cs="Times New Roman" w:eastAsia="Times New Roman"/>
          <w:b w:val="0"/>
          <w:i w:val="0"/>
          <w:sz w:val="24"/>
        </w:rPr>
        <w:t>To validate the complete pipeline against a live cloud subscription while constraining the deployed footprint to negligible cost.</w:t>
      </w:r>
    </w:p>
    <w:p>
      <w:pPr>
        <w:spacing w:line="360" w:lineRule="auto" w:after="120" w:before="200"/>
      </w:pPr>
      <w:r>
        <w:rPr>
          <w:rFonts w:ascii="Times New Roman" w:hAnsi="Times New Roman" w:cs="Times New Roman" w:eastAsia="Times New Roman"/>
          <w:b/>
          <w:i w:val="0"/>
          <w:sz w:val="26"/>
        </w:rPr>
        <w:t>2.4 Problem Statement</w:t>
      </w:r>
    </w:p>
    <w:p>
      <w:pPr>
        <w:spacing w:line="276" w:lineRule="auto" w:after="160" w:before="0"/>
        <w:jc w:val="both"/>
      </w:pPr>
      <w:r>
        <w:rPr>
          <w:rFonts w:ascii="Times New Roman" w:hAnsi="Times New Roman" w:cs="Times New Roman" w:eastAsia="Times New Roman"/>
          <w:b w:val="0"/>
          <w:i w:val="0"/>
          <w:sz w:val="24"/>
        </w:rPr>
        <w:t>Cloud providers publish authoritative architectural guidance in the form of the Cloud Adoption Framework and the Well-Architected Framework, yet this guidance exists only as narrative documentation. Nothing in a conventional CI/CD pipeline prevents an engineer from merging a Terraform change that quietly violates it, and the violation typically becomes visible only after the resource has been created, has begun incurring cost, and may already be exposed.</w:t>
      </w:r>
    </w:p>
    <w:p>
      <w:pPr>
        <w:spacing w:line="276" w:lineRule="auto" w:after="160" w:before="0"/>
        <w:jc w:val="both"/>
      </w:pPr>
      <w:r>
        <w:rPr>
          <w:rFonts w:ascii="Times New Roman" w:hAnsi="Times New Roman" w:cs="Times New Roman" w:eastAsia="Times New Roman"/>
          <w:b w:val="0"/>
          <w:i w:val="0"/>
          <w:sz w:val="24"/>
        </w:rPr>
        <w:t>Existing policy-as-code tools mitigate but do not solve this problem, because they can only detect violations of rules that a human has already anticipated and encoded, and because they require separate rule sets per cloud provider. Manual architecture review, the only mechanism capable of judging framework intent, does not scale across dozens of daily pull requests and multiple cloud platforms.</w:t>
      </w:r>
    </w:p>
    <w:p>
      <w:pPr>
        <w:spacing w:line="276" w:lineRule="auto" w:after="160" w:before="0"/>
        <w:jc w:val="both"/>
      </w:pPr>
      <w:r>
        <w:rPr>
          <w:rFonts w:ascii="Times New Roman" w:hAnsi="Times New Roman" w:cs="Times New Roman" w:eastAsia="Times New Roman"/>
          <w:b w:val="0"/>
          <w:i w:val="0"/>
          <w:sz w:val="24"/>
        </w:rPr>
        <w:t>The problem addressed by this project is therefore: how can a CI/CD pipeline automatically evaluate a proposed infrastructure change against narrative cloud governance frameworks - including intent that was never codified as an explicit rule - and reach a reliable, explainable pass or block decision before any resource is created, consistently across multiple cloud providers?</w:t>
      </w:r>
    </w:p>
    <w:p>
      <w:pPr>
        <w:spacing w:line="360" w:lineRule="auto" w:after="120" w:before="200"/>
      </w:pPr>
      <w:r>
        <w:rPr>
          <w:rFonts w:ascii="Times New Roman" w:hAnsi="Times New Roman" w:cs="Times New Roman" w:eastAsia="Times New Roman"/>
          <w:b/>
          <w:i w:val="0"/>
          <w:sz w:val="26"/>
        </w:rPr>
        <w:t>2.5 Project Plan</w:t>
      </w:r>
    </w:p>
    <w:p>
      <w:pPr>
        <w:spacing w:line="276" w:lineRule="auto" w:after="160" w:before="0"/>
        <w:jc w:val="both"/>
      </w:pPr>
      <w:r>
        <w:rPr>
          <w:rFonts w:ascii="Times New Roman" w:hAnsi="Times New Roman" w:cs="Times New Roman" w:eastAsia="Times New Roman"/>
          <w:b w:val="0"/>
          <w:i w:val="0"/>
          <w:sz w:val="24"/>
        </w:rPr>
        <w:t>The project is executed over a single semester in six phases. Phase 1 covers problem formulation and the literature survey. Phase 2 covers architectural design and the definition of the canonical resource model. Phase 3 implements the plan parser and the deterministic rule engine. Phase 4 implements the knowledge base, the reasoning layer and the policy engine. Phase 5 covers CI/CD integration, the Terraform modules and cloud provisioning. Phase 6 covers evaluation, the benchmark harness, the demonstration dashboard and documentation. Figure 1 presents the schedule as a Gantt chart.</w:t>
      </w:r>
    </w:p>
    <w:p>
      <w:pPr>
        <w:spacing w:before="160" w:after="40"/>
        <w:jc w:val="center"/>
      </w:pPr>
      <w:r>
        <w:drawing>
          <wp:inline xmlns:a="http://schemas.openxmlformats.org/drawingml/2006/main" xmlns:pic="http://schemas.openxmlformats.org/drawingml/2006/picture">
            <wp:extent cx="5669280" cy="2042934"/>
            <wp:docPr id="2" name="Picture 2"/>
            <wp:cNvGraphicFramePr>
              <a:graphicFrameLocks noChangeAspect="1"/>
            </wp:cNvGraphicFramePr>
            <a:graphic>
              <a:graphicData uri="http://schemas.openxmlformats.org/drawingml/2006/picture">
                <pic:pic>
                  <pic:nvPicPr>
                    <pic:cNvPr id="0" name="fig1_gantt.png"/>
                    <pic:cNvPicPr/>
                  </pic:nvPicPr>
                  <pic:blipFill>
                    <a:blip r:embed="rId10"/>
                    <a:stretch>
                      <a:fillRect/>
                    </a:stretch>
                  </pic:blipFill>
                  <pic:spPr>
                    <a:xfrm>
                      <a:off x="0" y="0"/>
                      <a:ext cx="5669280" cy="2042934"/>
                    </a:xfrm>
                    <a:prstGeom prst="rect"/>
                  </pic:spPr>
                </pic:pic>
              </a:graphicData>
            </a:graphic>
          </wp:inline>
        </w:drawing>
      </w:r>
    </w:p>
    <w:p>
      <w:pPr>
        <w:spacing w:line="240" w:lineRule="auto" w:after="200" w:before="80"/>
        <w:jc w:val="center"/>
      </w:pPr>
      <w:r>
        <w:rPr>
          <w:rFonts w:ascii="Times New Roman" w:hAnsi="Times New Roman" w:cs="Times New Roman" w:eastAsia="Times New Roman"/>
          <w:b w:val="0"/>
          <w:i w:val="0"/>
          <w:sz w:val="22"/>
        </w:rPr>
        <w:t>Fig. 1. Project schedule (Gantt chart)</w:t>
      </w:r>
    </w:p>
    <w:p>
      <w:pPr>
        <w:spacing w:line="360" w:lineRule="auto" w:after="80" w:before="160"/>
      </w:pPr>
      <w:r>
        <w:rPr>
          <w:rFonts w:ascii="Times New Roman" w:hAnsi="Times New Roman" w:cs="Times New Roman" w:eastAsia="Times New Roman"/>
          <w:b/>
          <w:i/>
          <w:sz w:val="24"/>
        </w:rPr>
        <w:t>Team Roles and Module Ownership</w:t>
      </w:r>
    </w:p>
    <w:p>
      <w:pPr>
        <w:spacing w:line="276" w:lineRule="auto" w:after="160" w:before="0"/>
        <w:jc w:val="both"/>
      </w:pPr>
      <w:r>
        <w:rPr>
          <w:rFonts w:ascii="Times New Roman" w:hAnsi="Times New Roman" w:cs="Times New Roman" w:eastAsia="Times New Roman"/>
          <w:b w:val="0"/>
          <w:i w:val="0"/>
          <w:sz w:val="24"/>
        </w:rPr>
        <w:t>Work is partitioned into three modules with clean interfaces, allowing the members to develop and test independently. Table 2 records the allocation and Table 3 records the specific artefacts owned by each member.</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368"/>
          </w:tcPr>
          <w:p>
            <w:pPr>
              <w:spacing w:after="40"/>
              <w:jc w:val="center"/>
            </w:pPr>
            <w:r/>
            <w:r>
              <w:rPr>
                <w:rFonts w:ascii="Times New Roman" w:hAnsi="Times New Roman" w:cs="Times New Roman" w:eastAsia="Times New Roman"/>
                <w:b/>
                <w:i w:val="0"/>
                <w:sz w:val="20"/>
              </w:rPr>
              <w:t>Reg. No.</w:t>
            </w:r>
          </w:p>
        </w:tc>
        <w:tc>
          <w:tcPr>
            <w:tcW w:type="dxa" w:w="1800"/>
          </w:tcPr>
          <w:p>
            <w:pPr>
              <w:spacing w:after="40"/>
              <w:jc w:val="center"/>
            </w:pPr>
            <w:r/>
            <w:r>
              <w:rPr>
                <w:rFonts w:ascii="Times New Roman" w:hAnsi="Times New Roman" w:cs="Times New Roman" w:eastAsia="Times New Roman"/>
                <w:b/>
                <w:i w:val="0"/>
                <w:sz w:val="20"/>
              </w:rPr>
              <w:t>Name</w:t>
            </w:r>
          </w:p>
        </w:tc>
        <w:tc>
          <w:tcPr>
            <w:tcW w:type="dxa" w:w="4752"/>
          </w:tcPr>
          <w:p>
            <w:pPr>
              <w:spacing w:after="40"/>
              <w:jc w:val="center"/>
            </w:pPr>
            <w:r/>
            <w:r>
              <w:rPr>
                <w:rFonts w:ascii="Times New Roman" w:hAnsi="Times New Roman" w:cs="Times New Roman" w:eastAsia="Times New Roman"/>
                <w:b/>
                <w:i w:val="0"/>
                <w:sz w:val="20"/>
              </w:rPr>
              <w:t>Module</w:t>
            </w:r>
          </w:p>
        </w:tc>
        <w:tc>
          <w:tcPr>
            <w:tcW w:type="dxa" w:w="1224"/>
          </w:tcPr>
          <w:p>
            <w:pPr>
              <w:spacing w:after="40"/>
              <w:jc w:val="center"/>
            </w:pPr>
            <w:r/>
            <w:r>
              <w:rPr>
                <w:rFonts w:ascii="Times New Roman" w:hAnsi="Times New Roman" w:cs="Times New Roman" w:eastAsia="Times New Roman"/>
                <w:b/>
                <w:i w:val="0"/>
                <w:sz w:val="20"/>
              </w:rPr>
              <w:t>Weight</w:t>
            </w:r>
          </w:p>
        </w:tc>
      </w:tr>
      <w:tr>
        <w:tc>
          <w:tcPr>
            <w:tcW w:type="dxa" w:w="1368"/>
          </w:tcPr>
          <w:p>
            <w:pPr>
              <w:spacing w:after="40" w:line="240" w:lineRule="auto"/>
            </w:pPr>
            <w:r/>
            <w:r>
              <w:rPr>
                <w:rFonts w:ascii="Times New Roman" w:hAnsi="Times New Roman" w:cs="Times New Roman" w:eastAsia="Times New Roman"/>
                <w:b w:val="0"/>
                <w:i w:val="0"/>
                <w:sz w:val="20"/>
              </w:rPr>
              <w:t>23BCE0196</w:t>
            </w:r>
          </w:p>
        </w:tc>
        <w:tc>
          <w:tcPr>
            <w:tcW w:type="dxa" w:w="1800"/>
          </w:tcPr>
          <w:p>
            <w:pPr>
              <w:spacing w:after="40" w:line="240" w:lineRule="auto"/>
            </w:pPr>
            <w:r/>
            <w:r>
              <w:rPr>
                <w:rFonts w:ascii="Times New Roman" w:hAnsi="Times New Roman" w:cs="Times New Roman" w:eastAsia="Times New Roman"/>
                <w:b w:val="0"/>
                <w:i w:val="0"/>
                <w:sz w:val="20"/>
              </w:rPr>
              <w:t>Bhumika Singh</w:t>
            </w:r>
          </w:p>
        </w:tc>
        <w:tc>
          <w:tcPr>
            <w:tcW w:type="dxa" w:w="4752"/>
          </w:tcPr>
          <w:p>
            <w:pPr>
              <w:spacing w:after="40" w:line="240" w:lineRule="auto"/>
            </w:pPr>
            <w:r/>
            <w:r>
              <w:rPr>
                <w:rFonts w:ascii="Times New Roman" w:hAnsi="Times New Roman" w:cs="Times New Roman" w:eastAsia="Times New Roman"/>
                <w:b w:val="0"/>
                <w:i w:val="0"/>
                <w:sz w:val="20"/>
              </w:rPr>
              <w:t>CI/CD pipeline, Terraform infrastructure, Azure provisioning, CLI and report rendering</w:t>
            </w:r>
          </w:p>
        </w:tc>
        <w:tc>
          <w:tcPr>
            <w:tcW w:type="dxa" w:w="1224"/>
          </w:tcPr>
          <w:p>
            <w:pPr>
              <w:spacing w:after="40" w:line="240" w:lineRule="auto"/>
            </w:pPr>
            <w:r/>
            <w:r>
              <w:rPr>
                <w:rFonts w:ascii="Times New Roman" w:hAnsi="Times New Roman" w:cs="Times New Roman" w:eastAsia="Times New Roman"/>
                <w:b w:val="0"/>
                <w:i w:val="0"/>
                <w:sz w:val="20"/>
              </w:rPr>
              <w:t>Light</w:t>
            </w:r>
          </w:p>
        </w:tc>
      </w:tr>
      <w:tr>
        <w:tc>
          <w:tcPr>
            <w:tcW w:type="dxa" w:w="1368"/>
          </w:tcPr>
          <w:p>
            <w:pPr>
              <w:spacing w:after="40" w:line="240" w:lineRule="auto"/>
            </w:pPr>
            <w:r/>
            <w:r>
              <w:rPr>
                <w:rFonts w:ascii="Times New Roman" w:hAnsi="Times New Roman" w:cs="Times New Roman" w:eastAsia="Times New Roman"/>
                <w:b w:val="0"/>
                <w:i w:val="0"/>
                <w:sz w:val="20"/>
              </w:rPr>
              <w:t>23BCE0958</w:t>
            </w:r>
          </w:p>
        </w:tc>
        <w:tc>
          <w:tcPr>
            <w:tcW w:type="dxa" w:w="1800"/>
          </w:tcPr>
          <w:p>
            <w:pPr>
              <w:spacing w:after="40" w:line="240" w:lineRule="auto"/>
            </w:pPr>
            <w:r/>
            <w:r>
              <w:rPr>
                <w:rFonts w:ascii="Times New Roman" w:hAnsi="Times New Roman" w:cs="Times New Roman" w:eastAsia="Times New Roman"/>
                <w:b w:val="0"/>
                <w:i w:val="0"/>
                <w:sz w:val="20"/>
              </w:rPr>
              <w:t>Akshat Gupta</w:t>
            </w:r>
          </w:p>
        </w:tc>
        <w:tc>
          <w:tcPr>
            <w:tcW w:type="dxa" w:w="4752"/>
          </w:tcPr>
          <w:p>
            <w:pPr>
              <w:spacing w:after="40" w:line="240" w:lineRule="auto"/>
            </w:pPr>
            <w:r/>
            <w:r>
              <w:rPr>
                <w:rFonts w:ascii="Times New Roman" w:hAnsi="Times New Roman" w:cs="Times New Roman" w:eastAsia="Times New Roman"/>
                <w:b w:val="0"/>
                <w:i w:val="0"/>
                <w:sz w:val="20"/>
              </w:rPr>
              <w:t>Plan parsing, canonical resource model and the deterministic CAF/WAF rule engine</w:t>
            </w:r>
          </w:p>
        </w:tc>
        <w:tc>
          <w:tcPr>
            <w:tcW w:type="dxa" w:w="1224"/>
          </w:tcPr>
          <w:p>
            <w:pPr>
              <w:spacing w:after="40" w:line="240" w:lineRule="auto"/>
            </w:pPr>
            <w:r/>
            <w:r>
              <w:rPr>
                <w:rFonts w:ascii="Times New Roman" w:hAnsi="Times New Roman" w:cs="Times New Roman" w:eastAsia="Times New Roman"/>
                <w:b w:val="0"/>
                <w:i w:val="0"/>
                <w:sz w:val="20"/>
              </w:rPr>
              <w:t>Medium</w:t>
            </w:r>
          </w:p>
        </w:tc>
      </w:tr>
      <w:tr>
        <w:tc>
          <w:tcPr>
            <w:tcW w:type="dxa" w:w="1368"/>
          </w:tcPr>
          <w:p>
            <w:pPr>
              <w:spacing w:after="40" w:line="240" w:lineRule="auto"/>
            </w:pPr>
            <w:r/>
            <w:r>
              <w:rPr>
                <w:rFonts w:ascii="Times New Roman" w:hAnsi="Times New Roman" w:cs="Times New Roman" w:eastAsia="Times New Roman"/>
                <w:b w:val="0"/>
                <w:i w:val="0"/>
                <w:sz w:val="20"/>
              </w:rPr>
              <w:t>23BCI0262</w:t>
            </w:r>
          </w:p>
        </w:tc>
        <w:tc>
          <w:tcPr>
            <w:tcW w:type="dxa" w:w="1800"/>
          </w:tcPr>
          <w:p>
            <w:pPr>
              <w:spacing w:after="40" w:line="240" w:lineRule="auto"/>
            </w:pPr>
            <w:r/>
            <w:r>
              <w:rPr>
                <w:rFonts w:ascii="Times New Roman" w:hAnsi="Times New Roman" w:cs="Times New Roman" w:eastAsia="Times New Roman"/>
                <w:b w:val="0"/>
                <w:i w:val="0"/>
                <w:sz w:val="20"/>
              </w:rPr>
              <w:t>Gaurish Todi</w:t>
            </w:r>
          </w:p>
        </w:tc>
        <w:tc>
          <w:tcPr>
            <w:tcW w:type="dxa" w:w="4752"/>
          </w:tcPr>
          <w:p>
            <w:pPr>
              <w:spacing w:after="40" w:line="240" w:lineRule="auto"/>
            </w:pPr>
            <w:r/>
            <w:r>
              <w:rPr>
                <w:rFonts w:ascii="Times New Roman" w:hAnsi="Times New Roman" w:cs="Times New Roman" w:eastAsia="Times New Roman"/>
                <w:b w:val="0"/>
                <w:i w:val="0"/>
                <w:sz w:val="20"/>
              </w:rPr>
              <w:t>Knowledge base, reasoning layer, orchestration engine, policy engine, evaluation harness and dashboard</w:t>
            </w:r>
          </w:p>
        </w:tc>
        <w:tc>
          <w:tcPr>
            <w:tcW w:type="dxa" w:w="1224"/>
          </w:tcPr>
          <w:p>
            <w:pPr>
              <w:spacing w:after="40" w:line="240" w:lineRule="auto"/>
            </w:pPr>
            <w:r/>
            <w:r>
              <w:rPr>
                <w:rFonts w:ascii="Times New Roman" w:hAnsi="Times New Roman" w:cs="Times New Roman" w:eastAsia="Times New Roman"/>
                <w:b w:val="0"/>
                <w:i w:val="0"/>
                <w:sz w:val="20"/>
              </w:rPr>
              <w:t>Major</w:t>
            </w:r>
          </w:p>
        </w:tc>
      </w:tr>
    </w:tbl>
    <w:p>
      <w:pPr>
        <w:spacing w:line="276" w:lineRule="auto" w:after="40" w:before="0"/>
      </w:pPr>
    </w:p>
    <w:p>
      <w:pPr>
        <w:spacing w:line="240" w:lineRule="auto" w:after="200" w:before="80"/>
        <w:jc w:val="center"/>
      </w:pPr>
      <w:r>
        <w:rPr>
          <w:rFonts w:ascii="Times New Roman" w:hAnsi="Times New Roman" w:cs="Times New Roman" w:eastAsia="Times New Roman"/>
          <w:b w:val="0"/>
          <w:i w:val="0"/>
          <w:sz w:val="22"/>
        </w:rPr>
        <w:t>Table 2. Allocation of work among team members</w:t>
      </w:r>
    </w:p>
    <w:tbl>
      <w:tblPr>
        <w:tblStyle w:val="TableGrid"/>
        <w:tblW w:type="auto" w:w="0"/>
        <w:jc w:val="center"/>
        <w:tblLook w:firstColumn="1" w:firstRow="1" w:lastColumn="0" w:lastRow="0" w:noHBand="0" w:noVBand="1" w:val="04A0"/>
      </w:tblPr>
      <w:tblGrid>
        <w:gridCol w:w="3000"/>
        <w:gridCol w:w="3000"/>
        <w:gridCol w:w="3000"/>
      </w:tblGrid>
      <w:tr>
        <w:tc>
          <w:tcPr>
            <w:tcW w:type="dxa" w:w="1584"/>
          </w:tcPr>
          <w:p>
            <w:pPr>
              <w:spacing w:after="40"/>
              <w:jc w:val="center"/>
            </w:pPr>
            <w:r/>
            <w:r>
              <w:rPr>
                <w:rFonts w:ascii="Times New Roman" w:hAnsi="Times New Roman" w:cs="Times New Roman" w:eastAsia="Times New Roman"/>
                <w:b/>
                <w:i w:val="0"/>
                <w:sz w:val="18"/>
              </w:rPr>
              <w:t>Member</w:t>
            </w:r>
          </w:p>
        </w:tc>
        <w:tc>
          <w:tcPr>
            <w:tcW w:type="dxa" w:w="3312"/>
          </w:tcPr>
          <w:p>
            <w:pPr>
              <w:spacing w:after="40"/>
              <w:jc w:val="center"/>
            </w:pPr>
            <w:r/>
            <w:r>
              <w:rPr>
                <w:rFonts w:ascii="Times New Roman" w:hAnsi="Times New Roman" w:cs="Times New Roman" w:eastAsia="Times New Roman"/>
                <w:b/>
                <w:i w:val="0"/>
                <w:sz w:val="18"/>
              </w:rPr>
              <w:t>Files and folders owned</w:t>
            </w:r>
          </w:p>
        </w:tc>
        <w:tc>
          <w:tcPr>
            <w:tcW w:type="dxa" w:w="4464"/>
          </w:tcPr>
          <w:p>
            <w:pPr>
              <w:spacing w:after="40"/>
              <w:jc w:val="center"/>
            </w:pPr>
            <w:r/>
            <w:r>
              <w:rPr>
                <w:rFonts w:ascii="Times New Roman" w:hAnsi="Times New Roman" w:cs="Times New Roman" w:eastAsia="Times New Roman"/>
                <w:b/>
                <w:i w:val="0"/>
                <w:sz w:val="18"/>
              </w:rPr>
              <w:t>Principal contribution</w:t>
            </w:r>
          </w:p>
        </w:tc>
      </w:tr>
      <w:tr>
        <w:tc>
          <w:tcPr>
            <w:tcW w:type="dxa" w:w="1584"/>
          </w:tcPr>
          <w:p>
            <w:pPr>
              <w:spacing w:after="40" w:line="240" w:lineRule="auto"/>
            </w:pPr>
            <w:r/>
            <w:r>
              <w:rPr>
                <w:rFonts w:ascii="Times New Roman" w:hAnsi="Times New Roman" w:cs="Times New Roman" w:eastAsia="Times New Roman"/>
                <w:b w:val="0"/>
                <w:i w:val="0"/>
                <w:sz w:val="18"/>
              </w:rPr>
              <w:t>Gaurish Todi</w:t>
              <w:br/>
              <w:t>(23BCI0262)</w:t>
            </w:r>
          </w:p>
        </w:tc>
        <w:tc>
          <w:tcPr>
            <w:tcW w:type="dxa" w:w="3312"/>
          </w:tcPr>
          <w:p>
            <w:pPr>
              <w:spacing w:after="40" w:line="240" w:lineRule="auto"/>
            </w:pPr>
            <w:r/>
            <w:r>
              <w:rPr>
                <w:rFonts w:ascii="Times New Roman" w:hAnsi="Times New Roman" w:cs="Times New Roman" w:eastAsia="Times New Roman"/>
                <w:b w:val="0"/>
                <w:i w:val="0"/>
                <w:sz w:val="18"/>
              </w:rPr>
              <w:t>agent/engine.py; agent/config.py; agent/reasoner/ (base.py, offline.py, llm.py); agent/knowledge/caf_waf_kb.yaml; dashboard/; scripts/benchmark.py; tests/test_engine.py; docs/architecture.md</w:t>
            </w:r>
          </w:p>
        </w:tc>
        <w:tc>
          <w:tcPr>
            <w:tcW w:type="dxa" w:w="4464"/>
          </w:tcPr>
          <w:p>
            <w:pPr>
              <w:spacing w:after="40" w:line="240" w:lineRule="auto"/>
            </w:pPr>
            <w:r/>
            <w:r>
              <w:rPr>
                <w:rFonts w:ascii="Times New Roman" w:hAnsi="Times New Roman" w:cs="Times New Roman" w:eastAsia="Times New Roman"/>
                <w:b w:val="0"/>
                <w:i w:val="0"/>
                <w:sz w:val="18"/>
              </w:rPr>
              <w:t>Designed the three-layer architecture; authored the CAF/WAF knowledge base and the retrieval-based reasoning layer; implemented verdict orchestration, severity thresholds and expiring waivers; built the evaluation harness that measures detection rate, false positives and the marginal contribution of reasoning; built the demonstration dashboard.</w:t>
            </w:r>
          </w:p>
        </w:tc>
      </w:tr>
      <w:tr>
        <w:tc>
          <w:tcPr>
            <w:tcW w:type="dxa" w:w="1584"/>
          </w:tcPr>
          <w:p>
            <w:pPr>
              <w:spacing w:after="40" w:line="240" w:lineRule="auto"/>
            </w:pPr>
            <w:r/>
            <w:r>
              <w:rPr>
                <w:rFonts w:ascii="Times New Roman" w:hAnsi="Times New Roman" w:cs="Times New Roman" w:eastAsia="Times New Roman"/>
                <w:b w:val="0"/>
                <w:i w:val="0"/>
                <w:sz w:val="18"/>
              </w:rPr>
              <w:t>Akshat Gupta</w:t>
              <w:br/>
              <w:t>(23BCE0958)</w:t>
            </w:r>
          </w:p>
        </w:tc>
        <w:tc>
          <w:tcPr>
            <w:tcW w:type="dxa" w:w="3312"/>
          </w:tcPr>
          <w:p>
            <w:pPr>
              <w:spacing w:after="40" w:line="240" w:lineRule="auto"/>
            </w:pPr>
            <w:r/>
            <w:r>
              <w:rPr>
                <w:rFonts w:ascii="Times New Roman" w:hAnsi="Times New Roman" w:cs="Times New Roman" w:eastAsia="Times New Roman"/>
                <w:b w:val="0"/>
                <w:i w:val="0"/>
                <w:sz w:val="18"/>
              </w:rPr>
              <w:t>agent/models.py; agent/plan_parser.py; agent/rules/ (base.py, caf.py, waf.py); tests/test_plan_parser.py; tests/test_rules.py</w:t>
            </w:r>
          </w:p>
        </w:tc>
        <w:tc>
          <w:tcPr>
            <w:tcW w:type="dxa" w:w="4464"/>
          </w:tcPr>
          <w:p>
            <w:pPr>
              <w:spacing w:after="40" w:line="240" w:lineRule="auto"/>
            </w:pPr>
            <w:r/>
            <w:r>
              <w:rPr>
                <w:rFonts w:ascii="Times New Roman" w:hAnsi="Times New Roman" w:cs="Times New Roman" w:eastAsia="Times New Roman"/>
                <w:b w:val="0"/>
                <w:i w:val="0"/>
                <w:sz w:val="18"/>
              </w:rPr>
              <w:t>Defined the cloud-agnostic data model; implemented Terraform plan JSON parsing and the canonical kind mapping that makes the gate multi-cloud; authored all twenty-two deterministic CAF and WAF rules with their framework rationale; wrote bidirectional rule tests covering both detection and false-positive avoidance.</w:t>
            </w:r>
          </w:p>
        </w:tc>
      </w:tr>
      <w:tr>
        <w:tc>
          <w:tcPr>
            <w:tcW w:type="dxa" w:w="1584"/>
          </w:tcPr>
          <w:p>
            <w:pPr>
              <w:spacing w:after="40" w:line="240" w:lineRule="auto"/>
            </w:pPr>
            <w:r/>
            <w:r>
              <w:rPr>
                <w:rFonts w:ascii="Times New Roman" w:hAnsi="Times New Roman" w:cs="Times New Roman" w:eastAsia="Times New Roman"/>
                <w:b w:val="0"/>
                <w:i w:val="0"/>
                <w:sz w:val="18"/>
              </w:rPr>
              <w:t>Bhumika Singh</w:t>
              <w:br/>
              <w:t>(23BCE0196)</w:t>
            </w:r>
          </w:p>
        </w:tc>
        <w:tc>
          <w:tcPr>
            <w:tcW w:type="dxa" w:w="3312"/>
          </w:tcPr>
          <w:p>
            <w:pPr>
              <w:spacing w:after="40" w:line="240" w:lineRule="auto"/>
            </w:pPr>
            <w:r/>
            <w:r>
              <w:rPr>
                <w:rFonts w:ascii="Times New Roman" w:hAnsi="Times New Roman" w:cs="Times New Roman" w:eastAsia="Times New Roman"/>
                <w:b w:val="0"/>
                <w:i w:val="0"/>
                <w:sz w:val="18"/>
              </w:rPr>
              <w:t>.github/workflows/secops-gate.yml; infra/demo/; examples/terraform/noncompliant/; examples/plans/; scripts/azure-*.sh; agent/report.py; agent/cli.py; policies/policy.yaml; docs/azure-setup.md</w:t>
            </w:r>
          </w:p>
        </w:tc>
        <w:tc>
          <w:tcPr>
            <w:tcW w:type="dxa" w:w="4464"/>
          </w:tcPr>
          <w:p>
            <w:pPr>
              <w:spacing w:after="40" w:line="240" w:lineRule="auto"/>
            </w:pPr>
            <w:r/>
            <w:r>
              <w:rPr>
                <w:rFonts w:ascii="Times New Roman" w:hAnsi="Times New Roman" w:cs="Times New Roman" w:eastAsia="Times New Roman"/>
                <w:b w:val="0"/>
                <w:i w:val="0"/>
                <w:sz w:val="18"/>
              </w:rPr>
              <w:t>Built the GitHub Actions workflow that positions the gate between plan and apply; authored the compliant Terraform module and the seeded misconfiguration module; configured Azure OIDC federation and least-privilege access; implemented the CLI exit-code contract and the Markdown, JSON and SARIF report renderers.</w:t>
            </w:r>
          </w:p>
        </w:tc>
      </w:tr>
    </w:tbl>
    <w:p>
      <w:pPr>
        <w:spacing w:line="276" w:lineRule="auto" w:after="40" w:before="0"/>
      </w:pPr>
    </w:p>
    <w:p>
      <w:pPr>
        <w:spacing w:line="240" w:lineRule="auto" w:after="200" w:before="80"/>
        <w:jc w:val="center"/>
      </w:pPr>
      <w:r>
        <w:rPr>
          <w:rFonts w:ascii="Times New Roman" w:hAnsi="Times New Roman" w:cs="Times New Roman" w:eastAsia="Times New Roman"/>
          <w:b w:val="0"/>
          <w:i w:val="0"/>
          <w:sz w:val="22"/>
        </w:rPr>
        <w:t>Table 3. Detailed contribution of each team member</w:t>
      </w:r>
    </w:p>
    <w:p>
      <w:r>
        <w:br w:type="page"/>
      </w:r>
    </w:p>
    <w:p>
      <w:pPr>
        <w:spacing w:line="360" w:lineRule="auto" w:after="160" w:before="240"/>
      </w:pPr>
      <w:r>
        <w:rPr>
          <w:rFonts w:ascii="Times New Roman" w:hAnsi="Times New Roman" w:cs="Times New Roman" w:eastAsia="Times New Roman"/>
          <w:b/>
          <w:i w:val="0"/>
          <w:sz w:val="28"/>
        </w:rPr>
        <w:t>3. TECHNICAL SPECIFICATION</w:t>
      </w:r>
    </w:p>
    <w:p>
      <w:pPr>
        <w:spacing w:line="360" w:lineRule="auto" w:after="120" w:before="200"/>
      </w:pPr>
      <w:r>
        <w:rPr>
          <w:rFonts w:ascii="Times New Roman" w:hAnsi="Times New Roman" w:cs="Times New Roman" w:eastAsia="Times New Roman"/>
          <w:b/>
          <w:i w:val="0"/>
          <w:sz w:val="26"/>
        </w:rPr>
        <w:t>3.1 Requirements</w:t>
      </w:r>
    </w:p>
    <w:p>
      <w:pPr>
        <w:spacing w:line="360" w:lineRule="auto" w:after="80" w:before="160"/>
      </w:pPr>
      <w:r>
        <w:rPr>
          <w:rFonts w:ascii="Times New Roman" w:hAnsi="Times New Roman" w:cs="Times New Roman" w:eastAsia="Times New Roman"/>
          <w:b/>
          <w:i/>
          <w:sz w:val="24"/>
        </w:rPr>
        <w:t>3.1.1 Functional</w:t>
      </w:r>
    </w:p>
    <w:p>
      <w:pPr>
        <w:pStyle w:val="ListBullet"/>
        <w:spacing w:line="276" w:lineRule="auto" w:after="80"/>
        <w:ind w:left="504"/>
      </w:pPr>
      <w:r>
        <w:rPr>
          <w:rFonts w:ascii="Times New Roman" w:hAnsi="Times New Roman" w:cs="Times New Roman" w:eastAsia="Times New Roman"/>
          <w:b/>
          <w:i w:val="0"/>
          <w:sz w:val="24"/>
        </w:rPr>
        <w:t xml:space="preserve">FR1 - Plan ingestion: </w:t>
      </w:r>
      <w:r>
        <w:rPr>
          <w:rFonts w:ascii="Times New Roman" w:hAnsi="Times New Roman" w:cs="Times New Roman" w:eastAsia="Times New Roman"/>
          <w:b w:val="0"/>
          <w:i w:val="0"/>
          <w:sz w:val="24"/>
        </w:rPr>
        <w:t>The system shall accept Terraform plan output in JSON form, as produced by terraform show -json, and shall reject malformed input with an actionable diagnostic message.</w:t>
      </w:r>
    </w:p>
    <w:p>
      <w:pPr>
        <w:pStyle w:val="ListBullet"/>
        <w:spacing w:line="276" w:lineRule="auto" w:after="80"/>
        <w:ind w:left="504"/>
      </w:pPr>
      <w:r>
        <w:rPr>
          <w:rFonts w:ascii="Times New Roman" w:hAnsi="Times New Roman" w:cs="Times New Roman" w:eastAsia="Times New Roman"/>
          <w:b/>
          <w:i w:val="0"/>
          <w:sz w:val="24"/>
        </w:rPr>
        <w:t xml:space="preserve">FR2 - Resource normalisation: </w:t>
      </w:r>
      <w:r>
        <w:rPr>
          <w:rFonts w:ascii="Times New Roman" w:hAnsi="Times New Roman" w:cs="Times New Roman" w:eastAsia="Times New Roman"/>
          <w:b w:val="0"/>
          <w:i w:val="0"/>
          <w:sz w:val="24"/>
        </w:rPr>
        <w:t>The system shall map provider-specific resource types from Azure, AWS and GCP onto canonical resource kinds, and shall correctly interpret create, update, replace and delete actions.</w:t>
      </w:r>
    </w:p>
    <w:p>
      <w:pPr>
        <w:pStyle w:val="ListBullet"/>
        <w:spacing w:line="276" w:lineRule="auto" w:after="80"/>
        <w:ind w:left="504"/>
      </w:pPr>
      <w:r>
        <w:rPr>
          <w:rFonts w:ascii="Times New Roman" w:hAnsi="Times New Roman" w:cs="Times New Roman" w:eastAsia="Times New Roman"/>
          <w:b/>
          <w:i w:val="0"/>
          <w:sz w:val="24"/>
        </w:rPr>
        <w:t xml:space="preserve">FR3 - Deterministic evaluation: </w:t>
      </w:r>
      <w:r>
        <w:rPr>
          <w:rFonts w:ascii="Times New Roman" w:hAnsi="Times New Roman" w:cs="Times New Roman" w:eastAsia="Times New Roman"/>
          <w:b w:val="0"/>
          <w:i w:val="0"/>
          <w:sz w:val="24"/>
        </w:rPr>
        <w:t>The system shall evaluate each mutating resource against a registry of CAF and WAF rules, each returning a finding annotated with rule identifier, pillar, severity, explanation and remediation.</w:t>
      </w:r>
    </w:p>
    <w:p>
      <w:pPr>
        <w:pStyle w:val="ListBullet"/>
        <w:spacing w:line="276" w:lineRule="auto" w:after="80"/>
        <w:ind w:left="504"/>
      </w:pPr>
      <w:r>
        <w:rPr>
          <w:rFonts w:ascii="Times New Roman" w:hAnsi="Times New Roman" w:cs="Times New Roman" w:eastAsia="Times New Roman"/>
          <w:b/>
          <w:i w:val="0"/>
          <w:sz w:val="24"/>
        </w:rPr>
        <w:t xml:space="preserve">FR4 - Framework reasoning: </w:t>
      </w:r>
      <w:r>
        <w:rPr>
          <w:rFonts w:ascii="Times New Roman" w:hAnsi="Times New Roman" w:cs="Times New Roman" w:eastAsia="Times New Roman"/>
          <w:b w:val="0"/>
          <w:i w:val="0"/>
          <w:sz w:val="24"/>
        </w:rPr>
        <w:t>The system shall retrieve the framework guidance relevant to each resource kind and identify violations of architectural intent not covered by any deterministic rule, without duplicating existing findings.</w:t>
      </w:r>
    </w:p>
    <w:p>
      <w:pPr>
        <w:pStyle w:val="ListBullet"/>
        <w:spacing w:line="276" w:lineRule="auto" w:after="80"/>
        <w:ind w:left="504"/>
      </w:pPr>
      <w:r>
        <w:rPr>
          <w:rFonts w:ascii="Times New Roman" w:hAnsi="Times New Roman" w:cs="Times New Roman" w:eastAsia="Times New Roman"/>
          <w:b/>
          <w:i w:val="0"/>
          <w:sz w:val="24"/>
        </w:rPr>
        <w:t xml:space="preserve">FR5 - Policy application: </w:t>
      </w:r>
      <w:r>
        <w:rPr>
          <w:rFonts w:ascii="Times New Roman" w:hAnsi="Times New Roman" w:cs="Times New Roman" w:eastAsia="Times New Roman"/>
          <w:b w:val="0"/>
          <w:i w:val="0"/>
          <w:sz w:val="24"/>
        </w:rPr>
        <w:t>The system shall apply organisational severity thresholds, rule enable/disable and parameter overrides, and time-boxed waivers loaded from an external configuration file.</w:t>
      </w:r>
    </w:p>
    <w:p>
      <w:pPr>
        <w:pStyle w:val="ListBullet"/>
        <w:spacing w:line="276" w:lineRule="auto" w:after="80"/>
        <w:ind w:left="504"/>
      </w:pPr>
      <w:r>
        <w:rPr>
          <w:rFonts w:ascii="Times New Roman" w:hAnsi="Times New Roman" w:cs="Times New Roman" w:eastAsia="Times New Roman"/>
          <w:b/>
          <w:i w:val="0"/>
          <w:sz w:val="24"/>
        </w:rPr>
        <w:t xml:space="preserve">FR6 - Verdict production: </w:t>
      </w:r>
      <w:r>
        <w:rPr>
          <w:rFonts w:ascii="Times New Roman" w:hAnsi="Times New Roman" w:cs="Times New Roman" w:eastAsia="Times New Roman"/>
          <w:b w:val="0"/>
          <w:i w:val="0"/>
          <w:sz w:val="24"/>
        </w:rPr>
        <w:t>The system shall aggregate all findings into a single verdict of pass, remediate or block, and shall expose that verdict as a process exit code for pipeline consumption.</w:t>
      </w:r>
    </w:p>
    <w:p>
      <w:pPr>
        <w:pStyle w:val="ListBullet"/>
        <w:spacing w:line="276" w:lineRule="auto" w:after="80"/>
        <w:ind w:left="504"/>
      </w:pPr>
      <w:r>
        <w:rPr>
          <w:rFonts w:ascii="Times New Roman" w:hAnsi="Times New Roman" w:cs="Times New Roman" w:eastAsia="Times New Roman"/>
          <w:b/>
          <w:i w:val="0"/>
          <w:sz w:val="24"/>
        </w:rPr>
        <w:t xml:space="preserve">FR7 - Report generation: </w:t>
      </w:r>
      <w:r>
        <w:rPr>
          <w:rFonts w:ascii="Times New Roman" w:hAnsi="Times New Roman" w:cs="Times New Roman" w:eastAsia="Times New Roman"/>
          <w:b w:val="0"/>
          <w:i w:val="0"/>
          <w:sz w:val="24"/>
        </w:rPr>
        <w:t>The system shall render results as a Markdown report for pull-request review, a JSON document for machine consumption, and a SARIF 2.1.0 file for security tooling.</w:t>
      </w:r>
    </w:p>
    <w:p>
      <w:pPr>
        <w:pStyle w:val="ListBullet"/>
        <w:spacing w:line="276" w:lineRule="auto" w:after="80"/>
        <w:ind w:left="504"/>
      </w:pPr>
      <w:r>
        <w:rPr>
          <w:rFonts w:ascii="Times New Roman" w:hAnsi="Times New Roman" w:cs="Times New Roman" w:eastAsia="Times New Roman"/>
          <w:b/>
          <w:i w:val="0"/>
          <w:sz w:val="24"/>
        </w:rPr>
        <w:t xml:space="preserve">FR8 - Pipeline integration: </w:t>
      </w:r>
      <w:r>
        <w:rPr>
          <w:rFonts w:ascii="Times New Roman" w:hAnsi="Times New Roman" w:cs="Times New Roman" w:eastAsia="Times New Roman"/>
          <w:b w:val="0"/>
          <w:i w:val="0"/>
          <w:sz w:val="24"/>
        </w:rPr>
        <w:t>The system shall execute within a GitHub Actions workflow positioned between the plan and apply stages, publish its report to the pull request, and prevent apply on a block verdict.</w:t>
      </w:r>
    </w:p>
    <w:p>
      <w:pPr>
        <w:pStyle w:val="ListBullet"/>
        <w:spacing w:line="276" w:lineRule="auto" w:after="80"/>
        <w:ind w:left="504"/>
      </w:pPr>
      <w:r>
        <w:rPr>
          <w:rFonts w:ascii="Times New Roman" w:hAnsi="Times New Roman" w:cs="Times New Roman" w:eastAsia="Times New Roman"/>
          <w:b/>
          <w:i w:val="0"/>
          <w:sz w:val="24"/>
        </w:rPr>
        <w:t xml:space="preserve">FR9 - Demonstration interface: </w:t>
      </w:r>
      <w:r>
        <w:rPr>
          <w:rFonts w:ascii="Times New Roman" w:hAnsi="Times New Roman" w:cs="Times New Roman" w:eastAsia="Times New Roman"/>
          <w:b w:val="0"/>
          <w:i w:val="0"/>
          <w:sz w:val="24"/>
        </w:rPr>
        <w:t>The system shall provide a local web dashboard presenting the verdict, findings by pillar and severity, and the measured benchmark results.</w:t>
      </w:r>
    </w:p>
    <w:p>
      <w:pPr>
        <w:spacing w:line="360" w:lineRule="auto" w:after="80" w:before="160"/>
      </w:pPr>
      <w:r>
        <w:rPr>
          <w:rFonts w:ascii="Times New Roman" w:hAnsi="Times New Roman" w:cs="Times New Roman" w:eastAsia="Times New Roman"/>
          <w:b/>
          <w:i/>
          <w:sz w:val="24"/>
        </w:rPr>
        <w:t>3.1.2 Non-Functional</w:t>
      </w:r>
    </w:p>
    <w:p>
      <w:pPr>
        <w:pStyle w:val="ListBullet"/>
        <w:spacing w:line="276" w:lineRule="auto" w:after="80"/>
        <w:ind w:left="504"/>
      </w:pPr>
      <w:r>
        <w:rPr>
          <w:rFonts w:ascii="Times New Roman" w:hAnsi="Times New Roman" w:cs="Times New Roman" w:eastAsia="Times New Roman"/>
          <w:b/>
          <w:i w:val="0"/>
          <w:sz w:val="24"/>
        </w:rPr>
        <w:t xml:space="preserve">NFR1 - Performance: </w:t>
      </w:r>
      <w:r>
        <w:rPr>
          <w:rFonts w:ascii="Times New Roman" w:hAnsi="Times New Roman" w:cs="Times New Roman" w:eastAsia="Times New Roman"/>
          <w:b w:val="0"/>
          <w:i w:val="0"/>
          <w:sz w:val="24"/>
        </w:rPr>
        <w:t>The gate shall complete evaluation of a typical plan within one second, so that it imposes no perceptible delay on the pipeline. The measured median is below ten milliseconds.</w:t>
      </w:r>
    </w:p>
    <w:p>
      <w:pPr>
        <w:pStyle w:val="ListBullet"/>
        <w:spacing w:line="276" w:lineRule="auto" w:after="80"/>
        <w:ind w:left="504"/>
      </w:pPr>
      <w:r>
        <w:rPr>
          <w:rFonts w:ascii="Times New Roman" w:hAnsi="Times New Roman" w:cs="Times New Roman" w:eastAsia="Times New Roman"/>
          <w:b/>
          <w:i w:val="0"/>
          <w:sz w:val="24"/>
        </w:rPr>
        <w:t xml:space="preserve">NFR2 - Precision: </w:t>
      </w:r>
      <w:r>
        <w:rPr>
          <w:rFonts w:ascii="Times New Roman" w:hAnsi="Times New Roman" w:cs="Times New Roman" w:eastAsia="Times New Roman"/>
          <w:b w:val="0"/>
          <w:i w:val="0"/>
          <w:sz w:val="24"/>
        </w:rPr>
        <w:t>The gate shall produce no false positives on compliant infrastructure, since a gate that fails correct code is disabled by the team that owns it.</w:t>
      </w:r>
    </w:p>
    <w:p>
      <w:pPr>
        <w:pStyle w:val="ListBullet"/>
        <w:spacing w:line="276" w:lineRule="auto" w:after="80"/>
        <w:ind w:left="504"/>
      </w:pPr>
      <w:r>
        <w:rPr>
          <w:rFonts w:ascii="Times New Roman" w:hAnsi="Times New Roman" w:cs="Times New Roman" w:eastAsia="Times New Roman"/>
          <w:b/>
          <w:i w:val="0"/>
          <w:sz w:val="24"/>
        </w:rPr>
        <w:t xml:space="preserve">NFR3 - Determinism: </w:t>
      </w:r>
      <w:r>
        <w:rPr>
          <w:rFonts w:ascii="Times New Roman" w:hAnsi="Times New Roman" w:cs="Times New Roman" w:eastAsia="Times New Roman"/>
          <w:b w:val="0"/>
          <w:i w:val="0"/>
          <w:sz w:val="24"/>
        </w:rPr>
        <w:t>Blocking decisions shall derive only from deterministic rules, so that identical input always yields an identical verdict.</w:t>
      </w:r>
    </w:p>
    <w:p>
      <w:pPr>
        <w:pStyle w:val="ListBullet"/>
        <w:spacing w:line="276" w:lineRule="auto" w:after="80"/>
        <w:ind w:left="504"/>
      </w:pPr>
      <w:r>
        <w:rPr>
          <w:rFonts w:ascii="Times New Roman" w:hAnsi="Times New Roman" w:cs="Times New Roman" w:eastAsia="Times New Roman"/>
          <w:b/>
          <w:i w:val="0"/>
          <w:sz w:val="24"/>
        </w:rPr>
        <w:t xml:space="preserve">NFR4 - Availability tolerance: </w:t>
      </w:r>
      <w:r>
        <w:rPr>
          <w:rFonts w:ascii="Times New Roman" w:hAnsi="Times New Roman" w:cs="Times New Roman" w:eastAsia="Times New Roman"/>
          <w:b w:val="0"/>
          <w:i w:val="0"/>
          <w:sz w:val="24"/>
        </w:rPr>
        <w:t>Failure or unavailability of the optional model endpoint shall degrade the gate to deterministic evaluation, and shall never break the pipeline.</w:t>
      </w:r>
    </w:p>
    <w:p>
      <w:pPr>
        <w:pStyle w:val="ListBullet"/>
        <w:spacing w:line="276" w:lineRule="auto" w:after="80"/>
        <w:ind w:left="504"/>
      </w:pPr>
      <w:r>
        <w:rPr>
          <w:rFonts w:ascii="Times New Roman" w:hAnsi="Times New Roman" w:cs="Times New Roman" w:eastAsia="Times New Roman"/>
          <w:b/>
          <w:i w:val="0"/>
          <w:sz w:val="24"/>
        </w:rPr>
        <w:t xml:space="preserve">NFR5 - Cost efficiency: </w:t>
      </w:r>
      <w:r>
        <w:rPr>
          <w:rFonts w:ascii="Times New Roman" w:hAnsi="Times New Roman" w:cs="Times New Roman" w:eastAsia="Times New Roman"/>
          <w:b w:val="0"/>
          <w:i w:val="0"/>
          <w:sz w:val="24"/>
        </w:rPr>
        <w:t>Routine operation shall incur no cloud cost. Where the optional model reasoner is enabled, per-run cost shall be bounded by resource caps, prompt redaction and response caching.</w:t>
      </w:r>
    </w:p>
    <w:p>
      <w:pPr>
        <w:pStyle w:val="ListBullet"/>
        <w:spacing w:line="276" w:lineRule="auto" w:after="80"/>
        <w:ind w:left="504"/>
      </w:pPr>
      <w:r>
        <w:rPr>
          <w:rFonts w:ascii="Times New Roman" w:hAnsi="Times New Roman" w:cs="Times New Roman" w:eastAsia="Times New Roman"/>
          <w:b/>
          <w:i w:val="0"/>
          <w:sz w:val="24"/>
        </w:rPr>
        <w:t xml:space="preserve">NFR6 - Portability: </w:t>
      </w:r>
      <w:r>
        <w:rPr>
          <w:rFonts w:ascii="Times New Roman" w:hAnsi="Times New Roman" w:cs="Times New Roman" w:eastAsia="Times New Roman"/>
          <w:b w:val="0"/>
          <w:i w:val="0"/>
          <w:sz w:val="24"/>
        </w:rPr>
        <w:t>The gate shall depend only on the Python standard library and PyYAML, and shall run without modification on a hosted CI runner.</w:t>
      </w:r>
    </w:p>
    <w:p>
      <w:pPr>
        <w:pStyle w:val="ListBullet"/>
        <w:spacing w:line="276" w:lineRule="auto" w:after="80"/>
        <w:ind w:left="504"/>
      </w:pPr>
      <w:r>
        <w:rPr>
          <w:rFonts w:ascii="Times New Roman" w:hAnsi="Times New Roman" w:cs="Times New Roman" w:eastAsia="Times New Roman"/>
          <w:b/>
          <w:i w:val="0"/>
          <w:sz w:val="24"/>
        </w:rPr>
        <w:t xml:space="preserve">NFR7 - Security: </w:t>
      </w:r>
      <w:r>
        <w:rPr>
          <w:rFonts w:ascii="Times New Roman" w:hAnsi="Times New Roman" w:cs="Times New Roman" w:eastAsia="Times New Roman"/>
          <w:b w:val="0"/>
          <w:i w:val="0"/>
          <w:sz w:val="24"/>
        </w:rPr>
        <w:t>No long-lived credential shall be stored in the repository; pipeline authentication shall use OIDC federation, and secrets shall be redacted before any external transmission.</w:t>
      </w:r>
    </w:p>
    <w:p>
      <w:pPr>
        <w:pStyle w:val="ListBullet"/>
        <w:spacing w:line="276" w:lineRule="auto" w:after="80"/>
        <w:ind w:left="504"/>
      </w:pPr>
      <w:r>
        <w:rPr>
          <w:rFonts w:ascii="Times New Roman" w:hAnsi="Times New Roman" w:cs="Times New Roman" w:eastAsia="Times New Roman"/>
          <w:b/>
          <w:i w:val="0"/>
          <w:sz w:val="24"/>
        </w:rPr>
        <w:t xml:space="preserve">NFR8 - Maintainability: </w:t>
      </w:r>
      <w:r>
        <w:rPr>
          <w:rFonts w:ascii="Times New Roman" w:hAnsi="Times New Roman" w:cs="Times New Roman" w:eastAsia="Times New Roman"/>
          <w:b w:val="0"/>
          <w:i w:val="0"/>
          <w:sz w:val="24"/>
        </w:rPr>
        <w:t>Rules shall be independently registered units carrying their own documentation, and organisational tuning shall require editing configuration only, not source code.</w:t>
      </w:r>
    </w:p>
    <w:p>
      <w:pPr>
        <w:pStyle w:val="ListBullet"/>
        <w:spacing w:line="276" w:lineRule="auto" w:after="80"/>
        <w:ind w:left="504"/>
      </w:pPr>
      <w:r>
        <w:rPr>
          <w:rFonts w:ascii="Times New Roman" w:hAnsi="Times New Roman" w:cs="Times New Roman" w:eastAsia="Times New Roman"/>
          <w:b/>
          <w:i w:val="0"/>
          <w:sz w:val="24"/>
        </w:rPr>
        <w:t xml:space="preserve">NFR9 - Auditability: </w:t>
      </w:r>
      <w:r>
        <w:rPr>
          <w:rFonts w:ascii="Times New Roman" w:hAnsi="Times New Roman" w:cs="Times New Roman" w:eastAsia="Times New Roman"/>
          <w:b w:val="0"/>
          <w:i w:val="0"/>
          <w:sz w:val="24"/>
        </w:rPr>
        <w:t>Every finding shall name the framework pillar it violates and its provenance, distinguishing deterministic findings from reasoned ones.</w:t>
      </w:r>
    </w:p>
    <w:p>
      <w:pPr>
        <w:spacing w:line="360" w:lineRule="auto" w:after="120" w:before="200"/>
      </w:pPr>
      <w:r>
        <w:rPr>
          <w:rFonts w:ascii="Times New Roman" w:hAnsi="Times New Roman" w:cs="Times New Roman" w:eastAsia="Times New Roman"/>
          <w:b/>
          <w:i w:val="0"/>
          <w:sz w:val="26"/>
        </w:rPr>
        <w:t>3.2 Feasibility Study</w:t>
      </w:r>
    </w:p>
    <w:p>
      <w:pPr>
        <w:spacing w:line="360" w:lineRule="auto" w:after="80" w:before="160"/>
      </w:pPr>
      <w:r>
        <w:rPr>
          <w:rFonts w:ascii="Times New Roman" w:hAnsi="Times New Roman" w:cs="Times New Roman" w:eastAsia="Times New Roman"/>
          <w:b/>
          <w:i/>
          <w:sz w:val="24"/>
        </w:rPr>
        <w:t>3.2.1 Technical Feasibility</w:t>
      </w:r>
    </w:p>
    <w:p>
      <w:pPr>
        <w:spacing w:line="276" w:lineRule="auto" w:after="160" w:before="0"/>
        <w:jc w:val="both"/>
      </w:pPr>
      <w:r>
        <w:rPr>
          <w:rFonts w:ascii="Times New Roman" w:hAnsi="Times New Roman" w:cs="Times New Roman" w:eastAsia="Times New Roman"/>
          <w:b w:val="0"/>
          <w:i w:val="0"/>
          <w:sz w:val="24"/>
        </w:rPr>
        <w:t>The project is technically feasible and has been demonstrated in practice. Every integration point is a documented, stable interface: Terraform publishes a versioned JSON plan schema, GitHub Actions provides workflow hooks and OIDC token issuance, and Azure exposes federated credential exchange. No reverse engineering or unsupported interface is required.</w:t>
      </w:r>
    </w:p>
    <w:p>
      <w:pPr>
        <w:spacing w:line="276" w:lineRule="auto" w:after="160" w:before="0"/>
        <w:jc w:val="both"/>
      </w:pPr>
      <w:r>
        <w:rPr>
          <w:rFonts w:ascii="Times New Roman" w:hAnsi="Times New Roman" w:cs="Times New Roman" w:eastAsia="Times New Roman"/>
          <w:b w:val="0"/>
          <w:i w:val="0"/>
          <w:sz w:val="24"/>
        </w:rPr>
        <w:t>The runtime dependency footprint is deliberately minimal - the Python standard library together with PyYAML - which removes installation risk on hosted runners. The optional model reasoner communicates over plain HTTPS rather than a vendor SDK, so it introduces no additional dependency. The complete test suite comprises sixty-three automated tests, all passing, and the system has been validated end to end against a live Azure subscription.</w:t>
      </w:r>
    </w:p>
    <w:p>
      <w:pPr>
        <w:spacing w:before="160" w:after="40"/>
        <w:jc w:val="center"/>
      </w:pPr>
      <w:r>
        <w:drawing>
          <wp:inline xmlns:a="http://schemas.openxmlformats.org/drawingml/2006/main" xmlns:pic="http://schemas.openxmlformats.org/drawingml/2006/picture">
            <wp:extent cx="5760720" cy="2536541"/>
            <wp:docPr id="3" name="Picture 3"/>
            <wp:cNvGraphicFramePr>
              <a:graphicFrameLocks noChangeAspect="1"/>
            </wp:cNvGraphicFramePr>
            <a:graphic>
              <a:graphicData uri="http://schemas.openxmlformats.org/drawingml/2006/picture">
                <pic:pic>
                  <pic:nvPicPr>
                    <pic:cNvPr id="0" name="fig8_benchmark.png"/>
                    <pic:cNvPicPr/>
                  </pic:nvPicPr>
                  <pic:blipFill>
                    <a:blip r:embed="rId11"/>
                    <a:stretch>
                      <a:fillRect/>
                    </a:stretch>
                  </pic:blipFill>
                  <pic:spPr>
                    <a:xfrm>
                      <a:off x="0" y="0"/>
                      <a:ext cx="5760720" cy="2536541"/>
                    </a:xfrm>
                    <a:prstGeom prst="rect"/>
                  </pic:spPr>
                </pic:pic>
              </a:graphicData>
            </a:graphic>
          </wp:inline>
        </w:drawing>
      </w:r>
    </w:p>
    <w:p>
      <w:pPr>
        <w:spacing w:line="240" w:lineRule="auto" w:after="200" w:before="80"/>
        <w:jc w:val="center"/>
      </w:pPr>
      <w:r>
        <w:rPr>
          <w:rFonts w:ascii="Times New Roman" w:hAnsi="Times New Roman" w:cs="Times New Roman" w:eastAsia="Times New Roman"/>
          <w:b w:val="0"/>
          <w:i w:val="0"/>
          <w:sz w:val="22"/>
        </w:rPr>
        <w:t>Fig. 2. Measured detection performance against the seeded misconfiguration corpus</w:t>
      </w:r>
    </w:p>
    <w:p>
      <w:pPr>
        <w:spacing w:line="276" w:lineRule="auto" w:after="160" w:before="0"/>
        <w:jc w:val="both"/>
      </w:pPr>
      <w:r>
        <w:rPr>
          <w:rFonts w:ascii="Times New Roman" w:hAnsi="Times New Roman" w:cs="Times New Roman" w:eastAsia="Times New Roman"/>
          <w:b w:val="0"/>
          <w:i w:val="0"/>
          <w:sz w:val="24"/>
        </w:rPr>
        <w:t>The principal technical risk is the non-determinism of the reasoning layer. This is mitigated architecturally rather than by tuning: the reasoning layer cannot block a deployment unless an organisation explicitly opts in, and a deterministic offline reasoner provides an equivalent, zero-cost control path.</w:t>
      </w:r>
    </w:p>
    <w:p>
      <w:pPr>
        <w:spacing w:line="360" w:lineRule="auto" w:after="80" w:before="160"/>
      </w:pPr>
      <w:r>
        <w:rPr>
          <w:rFonts w:ascii="Times New Roman" w:hAnsi="Times New Roman" w:cs="Times New Roman" w:eastAsia="Times New Roman"/>
          <w:b/>
          <w:i/>
          <w:sz w:val="24"/>
        </w:rPr>
        <w:t>3.2.2 Economic Feasibility</w:t>
      </w:r>
    </w:p>
    <w:p>
      <w:pPr>
        <w:spacing w:line="276" w:lineRule="auto" w:after="160" w:before="0"/>
        <w:jc w:val="both"/>
      </w:pPr>
      <w:r>
        <w:rPr>
          <w:rFonts w:ascii="Times New Roman" w:hAnsi="Times New Roman" w:cs="Times New Roman" w:eastAsia="Times New Roman"/>
          <w:b w:val="0"/>
          <w:i w:val="0"/>
          <w:sz w:val="24"/>
        </w:rPr>
        <w:t>The economic profile of the project is unusually favourable because the gate evaluates a plan rather than a deployment. Evaluation is pure computation over a local JSON file and therefore incurs no cloud cost whatsoever; the pipeline executes on the free tier of GitHub-hosted runners.</w:t>
      </w:r>
    </w:p>
    <w:p>
      <w:pPr>
        <w:spacing w:line="276" w:lineRule="auto" w:after="160" w:before="0"/>
        <w:jc w:val="both"/>
      </w:pPr>
      <w:r>
        <w:rPr>
          <w:rFonts w:ascii="Times New Roman" w:hAnsi="Times New Roman" w:cs="Times New Roman" w:eastAsia="Times New Roman"/>
          <w:b w:val="0"/>
          <w:i w:val="0"/>
          <w:sz w:val="24"/>
        </w:rPr>
        <w:t>The validation footprint provisioned in Azure was constrained to a resource group, a locally-redundant storage account and a Log Analytics workspace subject to a hard daily ingestion quota. Measured steady-state cost is approximately four rupees per month. Expensive resource classes - virtual machines, managed Kubernetes, managed databases and private endpoints - are exercised entirely through plan-only fixtures at zero cost, which is a direct consequence of gating at plan time.</w:t>
      </w:r>
    </w:p>
    <w:p>
      <w:pPr>
        <w:spacing w:line="276" w:lineRule="auto" w:after="160" w:before="0"/>
        <w:jc w:val="both"/>
      </w:pPr>
      <w:r>
        <w:rPr>
          <w:rFonts w:ascii="Times New Roman" w:hAnsi="Times New Roman" w:cs="Times New Roman" w:eastAsia="Times New Roman"/>
          <w:b w:val="0"/>
          <w:i w:val="0"/>
          <w:sz w:val="24"/>
        </w:rPr>
        <w:t>Where the optional model reasoner is enabled, cost is bounded by a cap on the number of resources submitted per run, a limit on output tokens, prompt redaction and a response cache keyed on plan content. The resulting per-run cost is below one-tenth of a rupee. Set against the documented cost of a single cloud misconfiguration incident, the return on investment is substantial.</w:t>
      </w:r>
    </w:p>
    <w:p>
      <w:pPr>
        <w:spacing w:line="360" w:lineRule="auto" w:after="80" w:before="160"/>
      </w:pPr>
      <w:r>
        <w:rPr>
          <w:rFonts w:ascii="Times New Roman" w:hAnsi="Times New Roman" w:cs="Times New Roman" w:eastAsia="Times New Roman"/>
          <w:b/>
          <w:i/>
          <w:sz w:val="24"/>
        </w:rPr>
        <w:t>3.2.3 Social Feasibility</w:t>
      </w:r>
    </w:p>
    <w:p>
      <w:pPr>
        <w:spacing w:line="276" w:lineRule="auto" w:after="160" w:before="0"/>
        <w:jc w:val="both"/>
      </w:pPr>
      <w:r>
        <w:rPr>
          <w:rFonts w:ascii="Times New Roman" w:hAnsi="Times New Roman" w:cs="Times New Roman" w:eastAsia="Times New Roman"/>
          <w:b w:val="0"/>
          <w:i w:val="0"/>
          <w:sz w:val="24"/>
        </w:rPr>
        <w:t>The system is designed for adoption rather than imposition. Findings are expressed in plain language, cite the specific framework pillar violated, and include a copy-ready configuration fix, so the gate functions as a teaching mechanism as well as a control. A report-only mode allows an organisation with an existing backlog of violations to adopt the gate incrementally before enabling enforcement.</w:t>
      </w:r>
    </w:p>
    <w:p>
      <w:pPr>
        <w:spacing w:line="276" w:lineRule="auto" w:after="160" w:before="0"/>
        <w:jc w:val="both"/>
      </w:pPr>
      <w:r>
        <w:rPr>
          <w:rFonts w:ascii="Times New Roman" w:hAnsi="Times New Roman" w:cs="Times New Roman" w:eastAsia="Times New Roman"/>
          <w:b w:val="0"/>
          <w:i w:val="0"/>
          <w:sz w:val="24"/>
        </w:rPr>
        <w:t>Ethically, the design keeps human authority over automated judgement. The reasoning layer is advisory by default; waivers require a stated reason and expire automatically, preventing indefinite silent suppression of known risk; and no secret material is transmitted externally. The system augments the reviewer rather than replacing the role, redirecting scarce architectural expertise from routine checks towards genuinely novel design questions.</w:t>
      </w:r>
    </w:p>
    <w:p>
      <w:pPr>
        <w:spacing w:line="360" w:lineRule="auto" w:after="120" w:before="200"/>
      </w:pPr>
      <w:r>
        <w:rPr>
          <w:rFonts w:ascii="Times New Roman" w:hAnsi="Times New Roman" w:cs="Times New Roman" w:eastAsia="Times New Roman"/>
          <w:b/>
          <w:i w:val="0"/>
          <w:sz w:val="26"/>
        </w:rPr>
        <w:t>3.3 System Specification</w:t>
      </w:r>
    </w:p>
    <w:p>
      <w:pPr>
        <w:spacing w:line="360" w:lineRule="auto" w:after="80" w:before="160"/>
      </w:pPr>
      <w:r>
        <w:rPr>
          <w:rFonts w:ascii="Times New Roman" w:hAnsi="Times New Roman" w:cs="Times New Roman" w:eastAsia="Times New Roman"/>
          <w:b/>
          <w:i/>
          <w:sz w:val="24"/>
        </w:rPr>
        <w:t>3.3.1 Hardware Specification</w:t>
      </w:r>
    </w:p>
    <w:tbl>
      <w:tblPr>
        <w:tblStyle w:val="TableGrid"/>
        <w:tblW w:type="auto" w:w="0"/>
        <w:jc w:val="center"/>
        <w:tblLook w:firstColumn="1" w:firstRow="1" w:lastColumn="0" w:lastRow="0" w:noHBand="0" w:noVBand="1" w:val="04A0"/>
      </w:tblPr>
      <w:tblGrid>
        <w:gridCol w:w="3000"/>
        <w:gridCol w:w="3000"/>
        <w:gridCol w:w="3000"/>
      </w:tblGrid>
      <w:tr>
        <w:tc>
          <w:tcPr>
            <w:tcW w:type="dxa" w:w="2160"/>
          </w:tcPr>
          <w:p>
            <w:pPr>
              <w:spacing w:after="40"/>
              <w:jc w:val="center"/>
            </w:pPr>
            <w:r/>
            <w:r>
              <w:rPr>
                <w:rFonts w:ascii="Times New Roman" w:hAnsi="Times New Roman" w:cs="Times New Roman" w:eastAsia="Times New Roman"/>
                <w:b/>
                <w:i w:val="0"/>
                <w:sz w:val="20"/>
              </w:rPr>
              <w:t>Component</w:t>
            </w:r>
          </w:p>
        </w:tc>
        <w:tc>
          <w:tcPr>
            <w:tcW w:type="dxa" w:w="3888"/>
          </w:tcPr>
          <w:p>
            <w:pPr>
              <w:spacing w:after="40"/>
              <w:jc w:val="center"/>
            </w:pPr>
            <w:r/>
            <w:r>
              <w:rPr>
                <w:rFonts w:ascii="Times New Roman" w:hAnsi="Times New Roman" w:cs="Times New Roman" w:eastAsia="Times New Roman"/>
                <w:b/>
                <w:i w:val="0"/>
                <w:sz w:val="20"/>
              </w:rPr>
              <w:t>Development machine</w:t>
            </w:r>
          </w:p>
        </w:tc>
        <w:tc>
          <w:tcPr>
            <w:tcW w:type="dxa" w:w="3312"/>
          </w:tcPr>
          <w:p>
            <w:pPr>
              <w:spacing w:after="40"/>
              <w:jc w:val="center"/>
            </w:pPr>
            <w:r/>
            <w:r>
              <w:rPr>
                <w:rFonts w:ascii="Times New Roman" w:hAnsi="Times New Roman" w:cs="Times New Roman" w:eastAsia="Times New Roman"/>
                <w:b/>
                <w:i w:val="0"/>
                <w:sz w:val="20"/>
              </w:rPr>
              <w:t>CI runner (GitHub-hosted)</w:t>
            </w:r>
          </w:p>
        </w:tc>
      </w:tr>
      <w:tr>
        <w:tc>
          <w:tcPr>
            <w:tcW w:type="dxa" w:w="2160"/>
          </w:tcPr>
          <w:p>
            <w:pPr>
              <w:spacing w:after="40" w:line="240" w:lineRule="auto"/>
            </w:pPr>
            <w:r/>
            <w:r>
              <w:rPr>
                <w:rFonts w:ascii="Times New Roman" w:hAnsi="Times New Roman" w:cs="Times New Roman" w:eastAsia="Times New Roman"/>
                <w:b w:val="0"/>
                <w:i w:val="0"/>
                <w:sz w:val="20"/>
              </w:rPr>
              <w:t>Processor</w:t>
            </w:r>
          </w:p>
        </w:tc>
        <w:tc>
          <w:tcPr>
            <w:tcW w:type="dxa" w:w="3888"/>
          </w:tcPr>
          <w:p>
            <w:pPr>
              <w:spacing w:after="40" w:line="240" w:lineRule="auto"/>
            </w:pPr>
            <w:r/>
            <w:r>
              <w:rPr>
                <w:rFonts w:ascii="Times New Roman" w:hAnsi="Times New Roman" w:cs="Times New Roman" w:eastAsia="Times New Roman"/>
                <w:b w:val="0"/>
                <w:i w:val="0"/>
                <w:sz w:val="20"/>
              </w:rPr>
              <w:t>x86-64, quad-core, 2.0 GHz or higher</w:t>
            </w:r>
          </w:p>
        </w:tc>
        <w:tc>
          <w:tcPr>
            <w:tcW w:type="dxa" w:w="3312"/>
          </w:tcPr>
          <w:p>
            <w:pPr>
              <w:spacing w:after="40" w:line="240" w:lineRule="auto"/>
            </w:pPr>
            <w:r/>
            <w:r>
              <w:rPr>
                <w:rFonts w:ascii="Times New Roman" w:hAnsi="Times New Roman" w:cs="Times New Roman" w:eastAsia="Times New Roman"/>
                <w:b w:val="0"/>
                <w:i w:val="0"/>
                <w:sz w:val="20"/>
              </w:rPr>
              <w:t>2 vCPU</w:t>
            </w:r>
          </w:p>
        </w:tc>
      </w:tr>
      <w:tr>
        <w:tc>
          <w:tcPr>
            <w:tcW w:type="dxa" w:w="2160"/>
          </w:tcPr>
          <w:p>
            <w:pPr>
              <w:spacing w:after="40" w:line="240" w:lineRule="auto"/>
            </w:pPr>
            <w:r/>
            <w:r>
              <w:rPr>
                <w:rFonts w:ascii="Times New Roman" w:hAnsi="Times New Roman" w:cs="Times New Roman" w:eastAsia="Times New Roman"/>
                <w:b w:val="0"/>
                <w:i w:val="0"/>
                <w:sz w:val="20"/>
              </w:rPr>
              <w:t>Memory (RAM)</w:t>
            </w:r>
          </w:p>
        </w:tc>
        <w:tc>
          <w:tcPr>
            <w:tcW w:type="dxa" w:w="3888"/>
          </w:tcPr>
          <w:p>
            <w:pPr>
              <w:spacing w:after="40" w:line="240" w:lineRule="auto"/>
            </w:pPr>
            <w:r/>
            <w:r>
              <w:rPr>
                <w:rFonts w:ascii="Times New Roman" w:hAnsi="Times New Roman" w:cs="Times New Roman" w:eastAsia="Times New Roman"/>
                <w:b w:val="0"/>
                <w:i w:val="0"/>
                <w:sz w:val="20"/>
              </w:rPr>
              <w:t>8 GB minimum, 16 GB recommended</w:t>
            </w:r>
          </w:p>
        </w:tc>
        <w:tc>
          <w:tcPr>
            <w:tcW w:type="dxa" w:w="3312"/>
          </w:tcPr>
          <w:p>
            <w:pPr>
              <w:spacing w:after="40" w:line="240" w:lineRule="auto"/>
            </w:pPr>
            <w:r/>
            <w:r>
              <w:rPr>
                <w:rFonts w:ascii="Times New Roman" w:hAnsi="Times New Roman" w:cs="Times New Roman" w:eastAsia="Times New Roman"/>
                <w:b w:val="0"/>
                <w:i w:val="0"/>
                <w:sz w:val="20"/>
              </w:rPr>
              <w:t>7 GB</w:t>
            </w:r>
          </w:p>
        </w:tc>
      </w:tr>
      <w:tr>
        <w:tc>
          <w:tcPr>
            <w:tcW w:type="dxa" w:w="2160"/>
          </w:tcPr>
          <w:p>
            <w:pPr>
              <w:spacing w:after="40" w:line="240" w:lineRule="auto"/>
            </w:pPr>
            <w:r/>
            <w:r>
              <w:rPr>
                <w:rFonts w:ascii="Times New Roman" w:hAnsi="Times New Roman" w:cs="Times New Roman" w:eastAsia="Times New Roman"/>
                <w:b w:val="0"/>
                <w:i w:val="0"/>
                <w:sz w:val="20"/>
              </w:rPr>
              <w:t>Storage</w:t>
            </w:r>
          </w:p>
        </w:tc>
        <w:tc>
          <w:tcPr>
            <w:tcW w:type="dxa" w:w="3888"/>
          </w:tcPr>
          <w:p>
            <w:pPr>
              <w:spacing w:after="40" w:line="240" w:lineRule="auto"/>
            </w:pPr>
            <w:r/>
            <w:r>
              <w:rPr>
                <w:rFonts w:ascii="Times New Roman" w:hAnsi="Times New Roman" w:cs="Times New Roman" w:eastAsia="Times New Roman"/>
                <w:b w:val="0"/>
                <w:i w:val="0"/>
                <w:sz w:val="20"/>
              </w:rPr>
              <w:t>10 GB free disk space</w:t>
            </w:r>
          </w:p>
        </w:tc>
        <w:tc>
          <w:tcPr>
            <w:tcW w:type="dxa" w:w="3312"/>
          </w:tcPr>
          <w:p>
            <w:pPr>
              <w:spacing w:after="40" w:line="240" w:lineRule="auto"/>
            </w:pPr>
            <w:r/>
            <w:r>
              <w:rPr>
                <w:rFonts w:ascii="Times New Roman" w:hAnsi="Times New Roman" w:cs="Times New Roman" w:eastAsia="Times New Roman"/>
                <w:b w:val="0"/>
                <w:i w:val="0"/>
                <w:sz w:val="20"/>
              </w:rPr>
              <w:t>14 GB SSD</w:t>
            </w:r>
          </w:p>
        </w:tc>
      </w:tr>
      <w:tr>
        <w:tc>
          <w:tcPr>
            <w:tcW w:type="dxa" w:w="2160"/>
          </w:tcPr>
          <w:p>
            <w:pPr>
              <w:spacing w:after="40" w:line="240" w:lineRule="auto"/>
            </w:pPr>
            <w:r/>
            <w:r>
              <w:rPr>
                <w:rFonts w:ascii="Times New Roman" w:hAnsi="Times New Roman" w:cs="Times New Roman" w:eastAsia="Times New Roman"/>
                <w:b w:val="0"/>
                <w:i w:val="0"/>
                <w:sz w:val="20"/>
              </w:rPr>
              <w:t>Graphics Processing Unit</w:t>
            </w:r>
          </w:p>
        </w:tc>
        <w:tc>
          <w:tcPr>
            <w:tcW w:type="dxa" w:w="3888"/>
          </w:tcPr>
          <w:p>
            <w:pPr>
              <w:spacing w:after="40" w:line="240" w:lineRule="auto"/>
            </w:pPr>
            <w:r/>
            <w:r>
              <w:rPr>
                <w:rFonts w:ascii="Times New Roman" w:hAnsi="Times New Roman" w:cs="Times New Roman" w:eastAsia="Times New Roman"/>
                <w:b w:val="0"/>
                <w:i w:val="0"/>
                <w:sz w:val="20"/>
              </w:rPr>
              <w:t>Not required - no model training is performed</w:t>
            </w:r>
          </w:p>
        </w:tc>
        <w:tc>
          <w:tcPr>
            <w:tcW w:type="dxa" w:w="3312"/>
          </w:tcPr>
          <w:p>
            <w:pPr>
              <w:spacing w:after="40" w:line="240" w:lineRule="auto"/>
            </w:pPr>
            <w:r/>
            <w:r>
              <w:rPr>
                <w:rFonts w:ascii="Times New Roman" w:hAnsi="Times New Roman" w:cs="Times New Roman" w:eastAsia="Times New Roman"/>
                <w:b w:val="0"/>
                <w:i w:val="0"/>
                <w:sz w:val="20"/>
              </w:rPr>
              <w:t>Not applicable</w:t>
            </w:r>
          </w:p>
        </w:tc>
      </w:tr>
      <w:tr>
        <w:tc>
          <w:tcPr>
            <w:tcW w:type="dxa" w:w="2160"/>
          </w:tcPr>
          <w:p>
            <w:pPr>
              <w:spacing w:after="40" w:line="240" w:lineRule="auto"/>
            </w:pPr>
            <w:r/>
            <w:r>
              <w:rPr>
                <w:rFonts w:ascii="Times New Roman" w:hAnsi="Times New Roman" w:cs="Times New Roman" w:eastAsia="Times New Roman"/>
                <w:b w:val="0"/>
                <w:i w:val="0"/>
                <w:sz w:val="20"/>
              </w:rPr>
              <w:t>Monitor</w:t>
            </w:r>
          </w:p>
        </w:tc>
        <w:tc>
          <w:tcPr>
            <w:tcW w:type="dxa" w:w="3888"/>
          </w:tcPr>
          <w:p>
            <w:pPr>
              <w:spacing w:after="40" w:line="240" w:lineRule="auto"/>
            </w:pPr>
            <w:r/>
            <w:r>
              <w:rPr>
                <w:rFonts w:ascii="Times New Roman" w:hAnsi="Times New Roman" w:cs="Times New Roman" w:eastAsia="Times New Roman"/>
                <w:b w:val="0"/>
                <w:i w:val="0"/>
                <w:sz w:val="20"/>
              </w:rPr>
              <w:t>1920 x 1080 recommended for the dashboard</w:t>
            </w:r>
          </w:p>
        </w:tc>
        <w:tc>
          <w:tcPr>
            <w:tcW w:type="dxa" w:w="3312"/>
          </w:tcPr>
          <w:p>
            <w:pPr>
              <w:spacing w:after="40" w:line="240" w:lineRule="auto"/>
            </w:pPr>
            <w:r/>
            <w:r>
              <w:rPr>
                <w:rFonts w:ascii="Times New Roman" w:hAnsi="Times New Roman" w:cs="Times New Roman" w:eastAsia="Times New Roman"/>
                <w:b w:val="0"/>
                <w:i w:val="0"/>
                <w:sz w:val="20"/>
              </w:rPr>
              <w:t>Not applicable</w:t>
            </w:r>
          </w:p>
        </w:tc>
      </w:tr>
      <w:tr>
        <w:tc>
          <w:tcPr>
            <w:tcW w:type="dxa" w:w="2160"/>
          </w:tcPr>
          <w:p>
            <w:pPr>
              <w:spacing w:after="40" w:line="240" w:lineRule="auto"/>
            </w:pPr>
            <w:r/>
            <w:r>
              <w:rPr>
                <w:rFonts w:ascii="Times New Roman" w:hAnsi="Times New Roman" w:cs="Times New Roman" w:eastAsia="Times New Roman"/>
                <w:b w:val="0"/>
                <w:i w:val="0"/>
                <w:sz w:val="20"/>
              </w:rPr>
              <w:t>Network</w:t>
            </w:r>
          </w:p>
        </w:tc>
        <w:tc>
          <w:tcPr>
            <w:tcW w:type="dxa" w:w="3888"/>
          </w:tcPr>
          <w:p>
            <w:pPr>
              <w:spacing w:after="40" w:line="240" w:lineRule="auto"/>
            </w:pPr>
            <w:r/>
            <w:r>
              <w:rPr>
                <w:rFonts w:ascii="Times New Roman" w:hAnsi="Times New Roman" w:cs="Times New Roman" w:eastAsia="Times New Roman"/>
                <w:b w:val="0"/>
                <w:i w:val="0"/>
                <w:sz w:val="20"/>
              </w:rPr>
              <w:t>Broadband connection for cloud API access</w:t>
            </w:r>
          </w:p>
        </w:tc>
        <w:tc>
          <w:tcPr>
            <w:tcW w:type="dxa" w:w="3312"/>
          </w:tcPr>
          <w:p>
            <w:pPr>
              <w:spacing w:after="40" w:line="240" w:lineRule="auto"/>
            </w:pPr>
            <w:r/>
            <w:r>
              <w:rPr>
                <w:rFonts w:ascii="Times New Roman" w:hAnsi="Times New Roman" w:cs="Times New Roman" w:eastAsia="Times New Roman"/>
                <w:b w:val="0"/>
                <w:i w:val="0"/>
                <w:sz w:val="20"/>
              </w:rPr>
              <w:t>Provided by runner</w:t>
            </w:r>
          </w:p>
        </w:tc>
      </w:tr>
    </w:tbl>
    <w:p>
      <w:pPr>
        <w:spacing w:line="276" w:lineRule="auto" w:after="40" w:before="0"/>
      </w:pPr>
    </w:p>
    <w:p>
      <w:pPr>
        <w:spacing w:line="240" w:lineRule="auto" w:after="200" w:before="80"/>
        <w:jc w:val="center"/>
      </w:pPr>
      <w:r>
        <w:rPr>
          <w:rFonts w:ascii="Times New Roman" w:hAnsi="Times New Roman" w:cs="Times New Roman" w:eastAsia="Times New Roman"/>
          <w:b w:val="0"/>
          <w:i w:val="0"/>
          <w:sz w:val="22"/>
        </w:rPr>
        <w:t>Table 4. Hardware specification</w:t>
      </w:r>
    </w:p>
    <w:p>
      <w:pPr>
        <w:spacing w:line="276" w:lineRule="auto" w:after="160" w:before="0"/>
        <w:jc w:val="both"/>
      </w:pPr>
      <w:r>
        <w:rPr>
          <w:rFonts w:ascii="Times New Roman" w:hAnsi="Times New Roman" w:cs="Times New Roman" w:eastAsia="Times New Roman"/>
          <w:b w:val="0"/>
          <w:i w:val="0"/>
          <w:sz w:val="24"/>
        </w:rPr>
        <w:t>No graphics accelerator is required at any stage. The project performs no model training; where a language model is used, it is accessed as a hosted service over HTTPS.</w:t>
      </w:r>
    </w:p>
    <w:p>
      <w:pPr>
        <w:spacing w:line="360" w:lineRule="auto" w:after="80" w:before="160"/>
      </w:pPr>
      <w:r>
        <w:rPr>
          <w:rFonts w:ascii="Times New Roman" w:hAnsi="Times New Roman" w:cs="Times New Roman" w:eastAsia="Times New Roman"/>
          <w:b/>
          <w:i/>
          <w:sz w:val="24"/>
        </w:rPr>
        <w:t>3.3.2 Software Specification</w:t>
      </w:r>
    </w:p>
    <w:tbl>
      <w:tblPr>
        <w:tblStyle w:val="TableGrid"/>
        <w:tblW w:type="auto" w:w="0"/>
        <w:jc w:val="center"/>
        <w:tblLook w:firstColumn="1" w:firstRow="1" w:lastColumn="0" w:lastRow="0" w:noHBand="0" w:noVBand="1" w:val="04A0"/>
      </w:tblPr>
      <w:tblGrid>
        <w:gridCol w:w="4500"/>
        <w:gridCol w:w="4500"/>
      </w:tblGrid>
      <w:tr>
        <w:tc>
          <w:tcPr>
            <w:tcW w:type="dxa" w:w="2448"/>
          </w:tcPr>
          <w:p>
            <w:pPr>
              <w:spacing w:after="40"/>
              <w:jc w:val="center"/>
            </w:pPr>
            <w:r/>
            <w:r>
              <w:rPr>
                <w:rFonts w:ascii="Times New Roman" w:hAnsi="Times New Roman" w:cs="Times New Roman" w:eastAsia="Times New Roman"/>
                <w:b/>
                <w:i w:val="0"/>
                <w:sz w:val="20"/>
              </w:rPr>
              <w:t>Category</w:t>
            </w:r>
          </w:p>
        </w:tc>
        <w:tc>
          <w:tcPr>
            <w:tcW w:type="dxa" w:w="6912"/>
          </w:tcPr>
          <w:p>
            <w:pPr>
              <w:spacing w:after="40"/>
              <w:jc w:val="center"/>
            </w:pPr>
            <w:r/>
            <w:r>
              <w:rPr>
                <w:rFonts w:ascii="Times New Roman" w:hAnsi="Times New Roman" w:cs="Times New Roman" w:eastAsia="Times New Roman"/>
                <w:b/>
                <w:i w:val="0"/>
                <w:sz w:val="20"/>
              </w:rPr>
              <w:t>Software and version</w:t>
            </w:r>
          </w:p>
        </w:tc>
      </w:tr>
      <w:tr>
        <w:tc>
          <w:tcPr>
            <w:tcW w:type="dxa" w:w="2448"/>
          </w:tcPr>
          <w:p>
            <w:pPr>
              <w:spacing w:after="40" w:line="240" w:lineRule="auto"/>
            </w:pPr>
            <w:r/>
            <w:r>
              <w:rPr>
                <w:rFonts w:ascii="Times New Roman" w:hAnsi="Times New Roman" w:cs="Times New Roman" w:eastAsia="Times New Roman"/>
                <w:b w:val="0"/>
                <w:i w:val="0"/>
                <w:sz w:val="20"/>
              </w:rPr>
              <w:t>Operating System</w:t>
            </w:r>
          </w:p>
        </w:tc>
        <w:tc>
          <w:tcPr>
            <w:tcW w:type="dxa" w:w="6912"/>
          </w:tcPr>
          <w:p>
            <w:pPr>
              <w:spacing w:after="40" w:line="240" w:lineRule="auto"/>
            </w:pPr>
            <w:r/>
            <w:r>
              <w:rPr>
                <w:rFonts w:ascii="Times New Roman" w:hAnsi="Times New Roman" w:cs="Times New Roman" w:eastAsia="Times New Roman"/>
                <w:b w:val="0"/>
                <w:i w:val="0"/>
                <w:sz w:val="20"/>
              </w:rPr>
              <w:t>Windows 11 (development); Ubuntu 22.04 LTS (CI runner)</w:t>
            </w:r>
          </w:p>
        </w:tc>
      </w:tr>
      <w:tr>
        <w:tc>
          <w:tcPr>
            <w:tcW w:type="dxa" w:w="2448"/>
          </w:tcPr>
          <w:p>
            <w:pPr>
              <w:spacing w:after="40" w:line="240" w:lineRule="auto"/>
            </w:pPr>
            <w:r/>
            <w:r>
              <w:rPr>
                <w:rFonts w:ascii="Times New Roman" w:hAnsi="Times New Roman" w:cs="Times New Roman" w:eastAsia="Times New Roman"/>
                <w:b w:val="0"/>
                <w:i w:val="0"/>
                <w:sz w:val="20"/>
              </w:rPr>
              <w:t>Programming Languages</w:t>
            </w:r>
          </w:p>
        </w:tc>
        <w:tc>
          <w:tcPr>
            <w:tcW w:type="dxa" w:w="6912"/>
          </w:tcPr>
          <w:p>
            <w:pPr>
              <w:spacing w:after="40" w:line="240" w:lineRule="auto"/>
            </w:pPr>
            <w:r/>
            <w:r>
              <w:rPr>
                <w:rFonts w:ascii="Times New Roman" w:hAnsi="Times New Roman" w:cs="Times New Roman" w:eastAsia="Times New Roman"/>
                <w:b w:val="0"/>
                <w:i w:val="0"/>
                <w:sz w:val="20"/>
              </w:rPr>
              <w:t>Python 3.11 or later; HCL2 (Terraform); JavaScript (ES2020) for the dashboard</w:t>
            </w:r>
          </w:p>
        </w:tc>
      </w:tr>
      <w:tr>
        <w:tc>
          <w:tcPr>
            <w:tcW w:type="dxa" w:w="2448"/>
          </w:tcPr>
          <w:p>
            <w:pPr>
              <w:spacing w:after="40" w:line="240" w:lineRule="auto"/>
            </w:pPr>
            <w:r/>
            <w:r>
              <w:rPr>
                <w:rFonts w:ascii="Times New Roman" w:hAnsi="Times New Roman" w:cs="Times New Roman" w:eastAsia="Times New Roman"/>
                <w:b w:val="0"/>
                <w:i w:val="0"/>
                <w:sz w:val="20"/>
              </w:rPr>
              <w:t>Development Environment</w:t>
            </w:r>
          </w:p>
        </w:tc>
        <w:tc>
          <w:tcPr>
            <w:tcW w:type="dxa" w:w="6912"/>
          </w:tcPr>
          <w:p>
            <w:pPr>
              <w:spacing w:after="40" w:line="240" w:lineRule="auto"/>
            </w:pPr>
            <w:r/>
            <w:r>
              <w:rPr>
                <w:rFonts w:ascii="Times New Roman" w:hAnsi="Times New Roman" w:cs="Times New Roman" w:eastAsia="Times New Roman"/>
                <w:b w:val="0"/>
                <w:i w:val="0"/>
                <w:sz w:val="20"/>
              </w:rPr>
              <w:t>Visual Studio Code; Git 2.50; GitHub CLI</w:t>
            </w:r>
          </w:p>
        </w:tc>
      </w:tr>
      <w:tr>
        <w:tc>
          <w:tcPr>
            <w:tcW w:type="dxa" w:w="2448"/>
          </w:tcPr>
          <w:p>
            <w:pPr>
              <w:spacing w:after="40" w:line="240" w:lineRule="auto"/>
            </w:pPr>
            <w:r/>
            <w:r>
              <w:rPr>
                <w:rFonts w:ascii="Times New Roman" w:hAnsi="Times New Roman" w:cs="Times New Roman" w:eastAsia="Times New Roman"/>
                <w:b w:val="0"/>
                <w:i w:val="0"/>
                <w:sz w:val="20"/>
              </w:rPr>
              <w:t>Libraries and Frameworks</w:t>
            </w:r>
          </w:p>
        </w:tc>
        <w:tc>
          <w:tcPr>
            <w:tcW w:type="dxa" w:w="6912"/>
          </w:tcPr>
          <w:p>
            <w:pPr>
              <w:spacing w:after="40" w:line="240" w:lineRule="auto"/>
            </w:pPr>
            <w:r/>
            <w:r>
              <w:rPr>
                <w:rFonts w:ascii="Times New Roman" w:hAnsi="Times New Roman" w:cs="Times New Roman" w:eastAsia="Times New Roman"/>
                <w:b w:val="0"/>
                <w:i w:val="0"/>
                <w:sz w:val="20"/>
              </w:rPr>
              <w:t>PyYAML 6.0 (configuration and knowledge base); pytest 7.4 (testing); React 18 (dashboard); Python standard library http.server (dashboard backend)</w:t>
            </w:r>
          </w:p>
        </w:tc>
      </w:tr>
      <w:tr>
        <w:tc>
          <w:tcPr>
            <w:tcW w:type="dxa" w:w="2448"/>
          </w:tcPr>
          <w:p>
            <w:pPr>
              <w:spacing w:after="40" w:line="240" w:lineRule="auto"/>
            </w:pPr>
            <w:r/>
            <w:r>
              <w:rPr>
                <w:rFonts w:ascii="Times New Roman" w:hAnsi="Times New Roman" w:cs="Times New Roman" w:eastAsia="Times New Roman"/>
                <w:b w:val="0"/>
                <w:i w:val="0"/>
                <w:sz w:val="20"/>
              </w:rPr>
              <w:t>Infrastructure as Code</w:t>
            </w:r>
          </w:p>
        </w:tc>
        <w:tc>
          <w:tcPr>
            <w:tcW w:type="dxa" w:w="6912"/>
          </w:tcPr>
          <w:p>
            <w:pPr>
              <w:spacing w:after="40" w:line="240" w:lineRule="auto"/>
            </w:pPr>
            <w:r/>
            <w:r>
              <w:rPr>
                <w:rFonts w:ascii="Times New Roman" w:hAnsi="Times New Roman" w:cs="Times New Roman" w:eastAsia="Times New Roman"/>
                <w:b w:val="0"/>
                <w:i w:val="0"/>
                <w:sz w:val="20"/>
              </w:rPr>
              <w:t>Terraform 1.9 or later; AzureRM provider 4.x</w:t>
            </w:r>
          </w:p>
        </w:tc>
      </w:tr>
      <w:tr>
        <w:tc>
          <w:tcPr>
            <w:tcW w:type="dxa" w:w="2448"/>
          </w:tcPr>
          <w:p>
            <w:pPr>
              <w:spacing w:after="40" w:line="240" w:lineRule="auto"/>
            </w:pPr>
            <w:r/>
            <w:r>
              <w:rPr>
                <w:rFonts w:ascii="Times New Roman" w:hAnsi="Times New Roman" w:cs="Times New Roman" w:eastAsia="Times New Roman"/>
                <w:b w:val="0"/>
                <w:i w:val="0"/>
                <w:sz w:val="20"/>
              </w:rPr>
              <w:t>CI/CD Platform</w:t>
            </w:r>
          </w:p>
        </w:tc>
        <w:tc>
          <w:tcPr>
            <w:tcW w:type="dxa" w:w="6912"/>
          </w:tcPr>
          <w:p>
            <w:pPr>
              <w:spacing w:after="40" w:line="240" w:lineRule="auto"/>
            </w:pPr>
            <w:r/>
            <w:r>
              <w:rPr>
                <w:rFonts w:ascii="Times New Roman" w:hAnsi="Times New Roman" w:cs="Times New Roman" w:eastAsia="Times New Roman"/>
                <w:b w:val="0"/>
                <w:i w:val="0"/>
                <w:sz w:val="20"/>
              </w:rPr>
              <w:t>GitHub Actions with OIDC federated authentication</w:t>
            </w:r>
          </w:p>
        </w:tc>
      </w:tr>
      <w:tr>
        <w:tc>
          <w:tcPr>
            <w:tcW w:type="dxa" w:w="2448"/>
          </w:tcPr>
          <w:p>
            <w:pPr>
              <w:spacing w:after="40" w:line="240" w:lineRule="auto"/>
            </w:pPr>
            <w:r/>
            <w:r>
              <w:rPr>
                <w:rFonts w:ascii="Times New Roman" w:hAnsi="Times New Roman" w:cs="Times New Roman" w:eastAsia="Times New Roman"/>
                <w:b w:val="0"/>
                <w:i w:val="0"/>
                <w:sz w:val="20"/>
              </w:rPr>
              <w:t>Cloud Platform</w:t>
            </w:r>
          </w:p>
        </w:tc>
        <w:tc>
          <w:tcPr>
            <w:tcW w:type="dxa" w:w="6912"/>
          </w:tcPr>
          <w:p>
            <w:pPr>
              <w:spacing w:after="40" w:line="240" w:lineRule="auto"/>
            </w:pPr>
            <w:r/>
            <w:r>
              <w:rPr>
                <w:rFonts w:ascii="Times New Roman" w:hAnsi="Times New Roman" w:cs="Times New Roman" w:eastAsia="Times New Roman"/>
                <w:b w:val="0"/>
                <w:i w:val="0"/>
                <w:sz w:val="20"/>
              </w:rPr>
              <w:t>Microsoft Azure (validated); AWS and GCP supported by the gate logic</w:t>
            </w:r>
          </w:p>
        </w:tc>
      </w:tr>
      <w:tr>
        <w:tc>
          <w:tcPr>
            <w:tcW w:type="dxa" w:w="2448"/>
          </w:tcPr>
          <w:p>
            <w:pPr>
              <w:spacing w:after="40" w:line="240" w:lineRule="auto"/>
            </w:pPr>
            <w:r/>
            <w:r>
              <w:rPr>
                <w:rFonts w:ascii="Times New Roman" w:hAnsi="Times New Roman" w:cs="Times New Roman" w:eastAsia="Times New Roman"/>
                <w:b w:val="0"/>
                <w:i w:val="0"/>
                <w:sz w:val="20"/>
              </w:rPr>
              <w:t>Database</w:t>
            </w:r>
          </w:p>
        </w:tc>
        <w:tc>
          <w:tcPr>
            <w:tcW w:type="dxa" w:w="6912"/>
          </w:tcPr>
          <w:p>
            <w:pPr>
              <w:spacing w:after="40" w:line="240" w:lineRule="auto"/>
            </w:pPr>
            <w:r/>
            <w:r>
              <w:rPr>
                <w:rFonts w:ascii="Times New Roman" w:hAnsi="Times New Roman" w:cs="Times New Roman" w:eastAsia="Times New Roman"/>
                <w:b w:val="0"/>
                <w:i w:val="0"/>
                <w:sz w:val="20"/>
              </w:rPr>
              <w:t>None required. State is held in Terraform remote state (Azure Blob Storage); the knowledge base and policy are version-controlled YAML files</w:t>
            </w:r>
          </w:p>
        </w:tc>
      </w:tr>
      <w:tr>
        <w:tc>
          <w:tcPr>
            <w:tcW w:type="dxa" w:w="2448"/>
          </w:tcPr>
          <w:p>
            <w:pPr>
              <w:spacing w:after="40" w:line="240" w:lineRule="auto"/>
            </w:pPr>
            <w:r/>
            <w:r>
              <w:rPr>
                <w:rFonts w:ascii="Times New Roman" w:hAnsi="Times New Roman" w:cs="Times New Roman" w:eastAsia="Times New Roman"/>
                <w:b w:val="0"/>
                <w:i w:val="0"/>
                <w:sz w:val="20"/>
              </w:rPr>
              <w:t>Security Tools</w:t>
            </w:r>
          </w:p>
        </w:tc>
        <w:tc>
          <w:tcPr>
            <w:tcW w:type="dxa" w:w="6912"/>
          </w:tcPr>
          <w:p>
            <w:pPr>
              <w:spacing w:after="40" w:line="240" w:lineRule="auto"/>
            </w:pPr>
            <w:r/>
            <w:r>
              <w:rPr>
                <w:rFonts w:ascii="Times New Roman" w:hAnsi="Times New Roman" w:cs="Times New Roman" w:eastAsia="Times New Roman"/>
                <w:b w:val="0"/>
                <w:i w:val="0"/>
                <w:sz w:val="20"/>
              </w:rPr>
              <w:t>Microsoft Entra ID workload identity federation; Azure RBAC; GitHub code scanning (SARIF ingestion)</w:t>
            </w:r>
          </w:p>
        </w:tc>
      </w:tr>
      <w:tr>
        <w:tc>
          <w:tcPr>
            <w:tcW w:type="dxa" w:w="2448"/>
          </w:tcPr>
          <w:p>
            <w:pPr>
              <w:spacing w:after="40" w:line="240" w:lineRule="auto"/>
            </w:pPr>
            <w:r/>
            <w:r>
              <w:rPr>
                <w:rFonts w:ascii="Times New Roman" w:hAnsi="Times New Roman" w:cs="Times New Roman" w:eastAsia="Times New Roman"/>
                <w:b w:val="0"/>
                <w:i w:val="0"/>
                <w:sz w:val="20"/>
              </w:rPr>
              <w:t>Optional Model Endpoint</w:t>
            </w:r>
          </w:p>
        </w:tc>
        <w:tc>
          <w:tcPr>
            <w:tcW w:type="dxa" w:w="6912"/>
          </w:tcPr>
          <w:p>
            <w:pPr>
              <w:spacing w:after="40" w:line="240" w:lineRule="auto"/>
            </w:pPr>
            <w:r/>
            <w:r>
              <w:rPr>
                <w:rFonts w:ascii="Times New Roman" w:hAnsi="Times New Roman" w:cs="Times New Roman" w:eastAsia="Times New Roman"/>
                <w:b w:val="0"/>
                <w:i w:val="0"/>
                <w:sz w:val="20"/>
              </w:rPr>
              <w:t>Azure OpenAI (gpt-4o-mini) or Anthropic Messages API - disabled by default</w:t>
            </w:r>
          </w:p>
        </w:tc>
      </w:tr>
    </w:tbl>
    <w:p>
      <w:pPr>
        <w:spacing w:line="276" w:lineRule="auto" w:after="40" w:before="0"/>
      </w:pPr>
    </w:p>
    <w:p>
      <w:pPr>
        <w:spacing w:line="240" w:lineRule="auto" w:after="200" w:before="80"/>
        <w:jc w:val="center"/>
      </w:pPr>
      <w:r>
        <w:rPr>
          <w:rFonts w:ascii="Times New Roman" w:hAnsi="Times New Roman" w:cs="Times New Roman" w:eastAsia="Times New Roman"/>
          <w:b w:val="0"/>
          <w:i w:val="0"/>
          <w:sz w:val="22"/>
        </w:rPr>
        <w:t>Table 5. Software specification</w:t>
      </w:r>
    </w:p>
    <w:p>
      <w:r>
        <w:br w:type="page"/>
      </w:r>
    </w:p>
    <w:p>
      <w:pPr>
        <w:spacing w:line="360" w:lineRule="auto" w:after="160" w:before="240"/>
      </w:pPr>
      <w:r>
        <w:rPr>
          <w:rFonts w:ascii="Times New Roman" w:hAnsi="Times New Roman" w:cs="Times New Roman" w:eastAsia="Times New Roman"/>
          <w:b/>
          <w:i w:val="0"/>
          <w:sz w:val="28"/>
        </w:rPr>
        <w:t>4. DESIGN APPROACH AND DETAILS</w:t>
      </w:r>
    </w:p>
    <w:p>
      <w:pPr>
        <w:spacing w:line="360" w:lineRule="auto" w:after="120" w:before="200"/>
      </w:pPr>
      <w:r>
        <w:rPr>
          <w:rFonts w:ascii="Times New Roman" w:hAnsi="Times New Roman" w:cs="Times New Roman" w:eastAsia="Times New Roman"/>
          <w:b/>
          <w:i w:val="0"/>
          <w:sz w:val="26"/>
        </w:rPr>
        <w:t>4.1 System Architecture</w:t>
      </w:r>
    </w:p>
    <w:p>
      <w:pPr>
        <w:spacing w:line="276" w:lineRule="auto" w:after="160" w:before="0"/>
        <w:jc w:val="both"/>
      </w:pPr>
      <w:r>
        <w:rPr>
          <w:rFonts w:ascii="Times New Roman" w:hAnsi="Times New Roman" w:cs="Times New Roman" w:eastAsia="Times New Roman"/>
          <w:b w:val="0"/>
          <w:i w:val="0"/>
          <w:sz w:val="24"/>
        </w:rPr>
        <w:t>The agent is positioned at a single, deliberately chosen point in the delivery lifecycle: after terraform plan has resolved the complete set of intended changes, and before terraform apply creates anything. This is the earliest moment at which the fully evaluated configuration is known, and the last moment at which nothing has yet been provisioned. Figure 2 shows the resulting architecture.</w:t>
      </w:r>
    </w:p>
    <w:p>
      <w:pPr>
        <w:spacing w:before="160" w:after="40"/>
        <w:jc w:val="center"/>
      </w:pPr>
      <w:r>
        <w:drawing>
          <wp:inline xmlns:a="http://schemas.openxmlformats.org/drawingml/2006/main" xmlns:pic="http://schemas.openxmlformats.org/drawingml/2006/picture">
            <wp:extent cx="5760720" cy="3888858"/>
            <wp:docPr id="4" name="Picture 4"/>
            <wp:cNvGraphicFramePr>
              <a:graphicFrameLocks noChangeAspect="1"/>
            </wp:cNvGraphicFramePr>
            <a:graphic>
              <a:graphicData uri="http://schemas.openxmlformats.org/drawingml/2006/picture">
                <pic:pic>
                  <pic:nvPicPr>
                    <pic:cNvPr id="0" name="fig2_architecture.png"/>
                    <pic:cNvPicPr/>
                  </pic:nvPicPr>
                  <pic:blipFill>
                    <a:blip r:embed="rId12"/>
                    <a:stretch>
                      <a:fillRect/>
                    </a:stretch>
                  </pic:blipFill>
                  <pic:spPr>
                    <a:xfrm>
                      <a:off x="0" y="0"/>
                      <a:ext cx="5760720" cy="3888858"/>
                    </a:xfrm>
                    <a:prstGeom prst="rect"/>
                  </pic:spPr>
                </pic:pic>
              </a:graphicData>
            </a:graphic>
          </wp:inline>
        </w:drawing>
      </w:r>
    </w:p>
    <w:p>
      <w:pPr>
        <w:spacing w:line="240" w:lineRule="auto" w:after="200" w:before="80"/>
        <w:jc w:val="center"/>
      </w:pPr>
      <w:r>
        <w:rPr>
          <w:rFonts w:ascii="Times New Roman" w:hAnsi="Times New Roman" w:cs="Times New Roman" w:eastAsia="Times New Roman"/>
          <w:b w:val="0"/>
          <w:i w:val="0"/>
          <w:sz w:val="22"/>
        </w:rPr>
        <w:t>Fig. 3. System architecture of Agent SecOps</w:t>
      </w:r>
    </w:p>
    <w:p>
      <w:pPr>
        <w:spacing w:line="276" w:lineRule="auto" w:after="160" w:before="0"/>
        <w:jc w:val="both"/>
      </w:pPr>
      <w:r>
        <w:rPr>
          <w:rFonts w:ascii="Times New Roman" w:hAnsi="Times New Roman" w:cs="Times New Roman" w:eastAsia="Times New Roman"/>
          <w:b w:val="0"/>
          <w:i w:val="0"/>
          <w:sz w:val="24"/>
        </w:rPr>
        <w:t>A developer commits Terraform configuration and opens a pull request. The workflow executes terraform plan and converts the resulting plan to JSON. That document, rather than the HCL source, is the input to the gate - an important distinction, because variables, modules, count and for_each expressions are already resolved at this stage, so the gate evaluates what will actually be created rather than what the source appears to declare.</w:t>
      </w:r>
    </w:p>
    <w:p>
      <w:pPr>
        <w:spacing w:line="276" w:lineRule="auto" w:after="160" w:before="0"/>
        <w:jc w:val="both"/>
      </w:pPr>
      <w:r>
        <w:rPr>
          <w:rFonts w:ascii="Times New Roman" w:hAnsi="Times New Roman" w:cs="Times New Roman" w:eastAsia="Times New Roman"/>
          <w:b w:val="0"/>
          <w:i w:val="0"/>
          <w:sz w:val="24"/>
        </w:rPr>
        <w:t>Evaluation then proceeds through four stages.</w:t>
      </w:r>
    </w:p>
    <w:p>
      <w:pPr>
        <w:pStyle w:val="ListBullet"/>
        <w:spacing w:line="276" w:lineRule="auto" w:after="80"/>
        <w:ind w:left="504"/>
      </w:pPr>
      <w:r>
        <w:rPr>
          <w:rFonts w:ascii="Times New Roman" w:hAnsi="Times New Roman" w:cs="Times New Roman" w:eastAsia="Times New Roman"/>
          <w:b/>
          <w:i w:val="0"/>
          <w:sz w:val="24"/>
        </w:rPr>
        <w:t xml:space="preserve">Layer 0 - Normalisation. </w:t>
      </w:r>
      <w:r>
        <w:rPr>
          <w:rFonts w:ascii="Times New Roman" w:hAnsi="Times New Roman" w:cs="Times New Roman" w:eastAsia="Times New Roman"/>
          <w:b w:val="0"/>
          <w:i w:val="0"/>
          <w:sz w:val="24"/>
        </w:rPr>
        <w:t>The parser converts each entry of the plan's resource_changes array into a Resource object carrying a canonical Kind. Provider-specific types collapse onto shared abstractions, so azurerm_storage_account, aws_s3_bucket and google_storage_bucket all resolve to OBJECT_STORAGE. This single mapping is what makes the gate cloud-agnostic.</w:t>
      </w:r>
    </w:p>
    <w:p>
      <w:pPr>
        <w:pStyle w:val="ListBullet"/>
        <w:spacing w:line="276" w:lineRule="auto" w:after="80"/>
        <w:ind w:left="504"/>
      </w:pPr>
      <w:r>
        <w:rPr>
          <w:rFonts w:ascii="Times New Roman" w:hAnsi="Times New Roman" w:cs="Times New Roman" w:eastAsia="Times New Roman"/>
          <w:b/>
          <w:i w:val="0"/>
          <w:sz w:val="24"/>
        </w:rPr>
        <w:t xml:space="preserve">Layer 1 - Deterministic rules. </w:t>
      </w:r>
      <w:r>
        <w:rPr>
          <w:rFonts w:ascii="Times New Roman" w:hAnsi="Times New Roman" w:cs="Times New Roman" w:eastAsia="Times New Roman"/>
          <w:b w:val="0"/>
          <w:i w:val="0"/>
          <w:sz w:val="24"/>
        </w:rPr>
        <w:t>Twenty-two rules, each an independently registered unit declaring its pillar, severity, applicable kinds and framework rationale, evaluate every mutating resource. Findings from this layer carry a confidence of 1.0 by construction and are the only findings permitted to block a deployment by default.</w:t>
      </w:r>
    </w:p>
    <w:p>
      <w:pPr>
        <w:pStyle w:val="ListBullet"/>
        <w:spacing w:line="276" w:lineRule="auto" w:after="80"/>
        <w:ind w:left="504"/>
      </w:pPr>
      <w:r>
        <w:rPr>
          <w:rFonts w:ascii="Times New Roman" w:hAnsi="Times New Roman" w:cs="Times New Roman" w:eastAsia="Times New Roman"/>
          <w:b/>
          <w:i w:val="0"/>
          <w:sz w:val="24"/>
        </w:rPr>
        <w:t xml:space="preserve">Layer 2 - Framework reasoning. </w:t>
      </w:r>
      <w:r>
        <w:rPr>
          <w:rFonts w:ascii="Times New Roman" w:hAnsi="Times New Roman" w:cs="Times New Roman" w:eastAsia="Times New Roman"/>
          <w:b w:val="0"/>
          <w:i w:val="0"/>
          <w:sz w:val="24"/>
        </w:rPr>
        <w:t>For each resource, the pillars and watch-points indexed against its canonical kind are retrieved from the knowledge base and supplied, together with the findings already produced by Layer 1, to a reasoner. The reasoner reports only concerns that framework guidance implies but that no rule encodes. Retrieval is keyed on the type system rather than on embedding similarity, so the guidance applied to any resource is deterministic and auditable.</w:t>
      </w:r>
    </w:p>
    <w:p>
      <w:pPr>
        <w:pStyle w:val="ListBullet"/>
        <w:spacing w:line="276" w:lineRule="auto" w:after="80"/>
        <w:ind w:left="504"/>
      </w:pPr>
      <w:r>
        <w:rPr>
          <w:rFonts w:ascii="Times New Roman" w:hAnsi="Times New Roman" w:cs="Times New Roman" w:eastAsia="Times New Roman"/>
          <w:b/>
          <w:i w:val="0"/>
          <w:sz w:val="24"/>
        </w:rPr>
        <w:t xml:space="preserve">Layer 3 - Organisational policy. </w:t>
      </w:r>
      <w:r>
        <w:rPr>
          <w:rFonts w:ascii="Times New Roman" w:hAnsi="Times New Roman" w:cs="Times New Roman" w:eastAsia="Times New Roman"/>
          <w:b w:val="0"/>
          <w:i w:val="0"/>
          <w:sz w:val="24"/>
        </w:rPr>
        <w:t>Severity thresholds, rule overrides and time-boxed waivers are applied, and the surviving findings are aggregated into a single verdict, which is surfaced to the pipeline as an exit code.</w:t>
      </w:r>
    </w:p>
    <w:p>
      <w:pPr>
        <w:spacing w:line="276" w:lineRule="auto" w:after="160" w:before="0"/>
        <w:jc w:val="both"/>
      </w:pPr>
      <w:r>
        <w:rPr>
          <w:rFonts w:ascii="Times New Roman" w:hAnsi="Times New Roman" w:cs="Times New Roman" w:eastAsia="Times New Roman"/>
          <w:b w:val="0"/>
          <w:i w:val="0"/>
          <w:sz w:val="24"/>
        </w:rPr>
        <w:t>Two reasoner implementations satisfy the same interface. An offline reasoner applies deterministic heuristics corresponding to the knowledge base watch-points; it is free, runs in milliseconds, is the default in continuous integration, and serves as the experimental control against which the language-model reasoner is measured. The model-backed reasoner communicates with Azure OpenAI or the Anthropic API and is constrained by resource caps, prompt redaction and a content -addressed response cache. If no endpoint is configured, the factory silently falls back to the offline reasoner, so the gate never fails because a model is unreachable.</w:t>
      </w:r>
    </w:p>
    <w:p>
      <w:pPr>
        <w:spacing w:before="160" w:after="40"/>
        <w:jc w:val="center"/>
      </w:pPr>
      <w:r>
        <w:drawing>
          <wp:inline xmlns:a="http://schemas.openxmlformats.org/drawingml/2006/main" xmlns:pic="http://schemas.openxmlformats.org/drawingml/2006/picture">
            <wp:extent cx="5760720" cy="4521495"/>
            <wp:docPr id="5" name="Picture 5"/>
            <wp:cNvGraphicFramePr>
              <a:graphicFrameLocks noChangeAspect="1"/>
            </wp:cNvGraphicFramePr>
            <a:graphic>
              <a:graphicData uri="http://schemas.openxmlformats.org/drawingml/2006/picture">
                <pic:pic>
                  <pic:nvPicPr>
                    <pic:cNvPr id="0" name="fig3_gate_output.png"/>
                    <pic:cNvPicPr/>
                  </pic:nvPicPr>
                  <pic:blipFill>
                    <a:blip r:embed="rId13"/>
                    <a:stretch>
                      <a:fillRect/>
                    </a:stretch>
                  </pic:blipFill>
                  <pic:spPr>
                    <a:xfrm>
                      <a:off x="0" y="0"/>
                      <a:ext cx="5760720" cy="4521495"/>
                    </a:xfrm>
                    <a:prstGeom prst="rect"/>
                  </pic:spPr>
                </pic:pic>
              </a:graphicData>
            </a:graphic>
          </wp:inline>
        </w:drawing>
      </w:r>
    </w:p>
    <w:p>
      <w:pPr>
        <w:spacing w:line="240" w:lineRule="auto" w:after="200" w:before="80"/>
        <w:jc w:val="center"/>
      </w:pPr>
      <w:r>
        <w:rPr>
          <w:rFonts w:ascii="Times New Roman" w:hAnsi="Times New Roman" w:cs="Times New Roman" w:eastAsia="Times New Roman"/>
          <w:b w:val="0"/>
          <w:i w:val="0"/>
          <w:sz w:val="22"/>
        </w:rPr>
        <w:t>Fig. 4. Gate verdict produced for a plan containing seeded misconfigurations</w:t>
      </w:r>
    </w:p>
    <w:p>
      <w:pPr>
        <w:spacing w:line="360" w:lineRule="auto" w:after="120" w:before="200"/>
      </w:pPr>
      <w:r>
        <w:rPr>
          <w:rFonts w:ascii="Times New Roman" w:hAnsi="Times New Roman" w:cs="Times New Roman" w:eastAsia="Times New Roman"/>
          <w:b/>
          <w:i w:val="0"/>
          <w:sz w:val="26"/>
        </w:rPr>
        <w:t>4.2 Design</w:t>
      </w:r>
    </w:p>
    <w:p>
      <w:pPr>
        <w:spacing w:line="360" w:lineRule="auto" w:after="80" w:before="160"/>
      </w:pPr>
      <w:r>
        <w:rPr>
          <w:rFonts w:ascii="Times New Roman" w:hAnsi="Times New Roman" w:cs="Times New Roman" w:eastAsia="Times New Roman"/>
          <w:b/>
          <w:i/>
          <w:sz w:val="24"/>
        </w:rPr>
        <w:t>4.2.1 Data Flow Diagram</w:t>
      </w:r>
    </w:p>
    <w:p>
      <w:pPr>
        <w:spacing w:line="276" w:lineRule="auto" w:after="160" w:before="0"/>
        <w:jc w:val="both"/>
      </w:pPr>
      <w:r>
        <w:rPr>
          <w:rFonts w:ascii="Times New Roman" w:hAnsi="Times New Roman" w:cs="Times New Roman" w:eastAsia="Times New Roman"/>
          <w:b w:val="0"/>
          <w:i w:val="0"/>
          <w:sz w:val="24"/>
        </w:rPr>
        <w:t>Figure 4 presents the data flow. The Terraform plan JSON enters the parser, which emits normalised resources into the rule engine and the reasoner. The knowledge base acts as a reference data store consulted during retrieval, and the policy file as a reference store consulted during verdict aggregation. Findings converge on the verdict engine, which emits the report artefacts and the exit code that the pipeline consumes.</w:t>
      </w:r>
    </w:p>
    <w:p>
      <w:pPr>
        <w:spacing w:before="160" w:after="40"/>
        <w:jc w:val="center"/>
      </w:pPr>
      <w:r>
        <w:drawing>
          <wp:inline xmlns:a="http://schemas.openxmlformats.org/drawingml/2006/main" xmlns:pic="http://schemas.openxmlformats.org/drawingml/2006/picture">
            <wp:extent cx="5760720" cy="3546490"/>
            <wp:docPr id="6" name="Picture 6"/>
            <wp:cNvGraphicFramePr>
              <a:graphicFrameLocks noChangeAspect="1"/>
            </wp:cNvGraphicFramePr>
            <a:graphic>
              <a:graphicData uri="http://schemas.openxmlformats.org/drawingml/2006/picture">
                <pic:pic>
                  <pic:nvPicPr>
                    <pic:cNvPr id="0" name="fig4_dfd.png"/>
                    <pic:cNvPicPr/>
                  </pic:nvPicPr>
                  <pic:blipFill>
                    <a:blip r:embed="rId14"/>
                    <a:stretch>
                      <a:fillRect/>
                    </a:stretch>
                  </pic:blipFill>
                  <pic:spPr>
                    <a:xfrm>
                      <a:off x="0" y="0"/>
                      <a:ext cx="5760720" cy="3546490"/>
                    </a:xfrm>
                    <a:prstGeom prst="rect"/>
                  </pic:spPr>
                </pic:pic>
              </a:graphicData>
            </a:graphic>
          </wp:inline>
        </w:drawing>
      </w:r>
    </w:p>
    <w:p>
      <w:pPr>
        <w:spacing w:line="240" w:lineRule="auto" w:after="200" w:before="80"/>
        <w:jc w:val="center"/>
      </w:pPr>
      <w:r>
        <w:rPr>
          <w:rFonts w:ascii="Times New Roman" w:hAnsi="Times New Roman" w:cs="Times New Roman" w:eastAsia="Times New Roman"/>
          <w:b w:val="0"/>
          <w:i w:val="0"/>
          <w:sz w:val="22"/>
        </w:rPr>
        <w:t>Fig. 5. Data flow diagram (Level 1)</w:t>
      </w:r>
    </w:p>
    <w:p>
      <w:pPr>
        <w:spacing w:line="360" w:lineRule="auto" w:after="80" w:before="160"/>
      </w:pPr>
      <w:r>
        <w:rPr>
          <w:rFonts w:ascii="Times New Roman" w:hAnsi="Times New Roman" w:cs="Times New Roman" w:eastAsia="Times New Roman"/>
          <w:b/>
          <w:i/>
          <w:sz w:val="24"/>
        </w:rPr>
        <w:t>4.2.2 Use Case Diagram</w:t>
      </w:r>
    </w:p>
    <w:p>
      <w:pPr>
        <w:spacing w:line="276" w:lineRule="auto" w:after="160" w:before="0"/>
        <w:jc w:val="both"/>
      </w:pPr>
      <w:r>
        <w:rPr>
          <w:rFonts w:ascii="Times New Roman" w:hAnsi="Times New Roman" w:cs="Times New Roman" w:eastAsia="Times New Roman"/>
          <w:b w:val="0"/>
          <w:i w:val="0"/>
          <w:sz w:val="24"/>
        </w:rPr>
        <w:t>Four actors interact with the system. The Developer commits infrastructure changes and reads the resulting compliance report. The CI/CD Pipeline invokes the gate and acts on its exit code. The Platform Engineer maintains organisational policy, including thresholds, rule overrides and waivers. The Reasoning Service is an external supporting actor consulted only when the model-backed reasoner is enabled. Principal use cases comprise evaluating a plan, producing a verdict, publishing a report, gating the deployment, configuring policy, granting a time-boxed waiver, and reviewing benchmark results.</w:t>
      </w:r>
    </w:p>
    <w:p>
      <w:pPr>
        <w:spacing w:before="160" w:after="40"/>
        <w:jc w:val="center"/>
      </w:pPr>
      <w:r>
        <w:drawing>
          <wp:inline xmlns:a="http://schemas.openxmlformats.org/drawingml/2006/main" xmlns:pic="http://schemas.openxmlformats.org/drawingml/2006/picture">
            <wp:extent cx="5577840" cy="3653701"/>
            <wp:docPr id="7" name="Picture 7"/>
            <wp:cNvGraphicFramePr>
              <a:graphicFrameLocks noChangeAspect="1"/>
            </wp:cNvGraphicFramePr>
            <a:graphic>
              <a:graphicData uri="http://schemas.openxmlformats.org/drawingml/2006/picture">
                <pic:pic>
                  <pic:nvPicPr>
                    <pic:cNvPr id="0" name="fig5_usecase.png"/>
                    <pic:cNvPicPr/>
                  </pic:nvPicPr>
                  <pic:blipFill>
                    <a:blip r:embed="rId15"/>
                    <a:stretch>
                      <a:fillRect/>
                    </a:stretch>
                  </pic:blipFill>
                  <pic:spPr>
                    <a:xfrm>
                      <a:off x="0" y="0"/>
                      <a:ext cx="5577840" cy="3653701"/>
                    </a:xfrm>
                    <a:prstGeom prst="rect"/>
                  </pic:spPr>
                </pic:pic>
              </a:graphicData>
            </a:graphic>
          </wp:inline>
        </w:drawing>
      </w:r>
    </w:p>
    <w:p>
      <w:pPr>
        <w:spacing w:line="240" w:lineRule="auto" w:after="200" w:before="80"/>
        <w:jc w:val="center"/>
      </w:pPr>
      <w:r>
        <w:rPr>
          <w:rFonts w:ascii="Times New Roman" w:hAnsi="Times New Roman" w:cs="Times New Roman" w:eastAsia="Times New Roman"/>
          <w:b w:val="0"/>
          <w:i w:val="0"/>
          <w:sz w:val="22"/>
        </w:rPr>
        <w:t>Fig. 6. Use case diagram</w:t>
      </w:r>
    </w:p>
    <w:p>
      <w:pPr>
        <w:spacing w:line="360" w:lineRule="auto" w:after="80" w:before="160"/>
      </w:pPr>
      <w:r>
        <w:rPr>
          <w:rFonts w:ascii="Times New Roman" w:hAnsi="Times New Roman" w:cs="Times New Roman" w:eastAsia="Times New Roman"/>
          <w:b/>
          <w:i/>
          <w:sz w:val="24"/>
        </w:rPr>
        <w:t>4.2.3 Class Diagram</w:t>
      </w:r>
    </w:p>
    <w:p>
      <w:pPr>
        <w:spacing w:line="276" w:lineRule="auto" w:after="160" w:before="0"/>
        <w:jc w:val="both"/>
      </w:pPr>
      <w:r>
        <w:rPr>
          <w:rFonts w:ascii="Times New Roman" w:hAnsi="Times New Roman" w:cs="Times New Roman" w:eastAsia="Times New Roman"/>
          <w:b w:val="0"/>
          <w:i w:val="0"/>
          <w:sz w:val="24"/>
        </w:rPr>
        <w:t>The domain model is compact. Resource, Finding, PlanSummary and GateResult constitute the data model, supported by the enumerations Provider, Kind, Action, Severity, Verdict and Pillar. Rule is an abstract base class from which every concrete CAF and WAF rule derives, each contributing its metadata and a check method. Reasoner is a parallel abstraction realised by OfflineReasoner and LLMReasoner. Policy and Waiver express organisational configuration. The engine module composes these into the evaluation pipeline, and the report module renders GateResult into its three output formats.</w:t>
      </w:r>
    </w:p>
    <w:p>
      <w:pPr>
        <w:spacing w:before="160" w:after="40"/>
        <w:jc w:val="center"/>
      </w:pPr>
      <w:r>
        <w:drawing>
          <wp:inline xmlns:a="http://schemas.openxmlformats.org/drawingml/2006/main" xmlns:pic="http://schemas.openxmlformats.org/drawingml/2006/picture">
            <wp:extent cx="5760720" cy="4234948"/>
            <wp:docPr id="8" name="Picture 8"/>
            <wp:cNvGraphicFramePr>
              <a:graphicFrameLocks noChangeAspect="1"/>
            </wp:cNvGraphicFramePr>
            <a:graphic>
              <a:graphicData uri="http://schemas.openxmlformats.org/drawingml/2006/picture">
                <pic:pic>
                  <pic:nvPicPr>
                    <pic:cNvPr id="0" name="fig6_class.png"/>
                    <pic:cNvPicPr/>
                  </pic:nvPicPr>
                  <pic:blipFill>
                    <a:blip r:embed="rId16"/>
                    <a:stretch>
                      <a:fillRect/>
                    </a:stretch>
                  </pic:blipFill>
                  <pic:spPr>
                    <a:xfrm>
                      <a:off x="0" y="0"/>
                      <a:ext cx="5760720" cy="4234948"/>
                    </a:xfrm>
                    <a:prstGeom prst="rect"/>
                  </pic:spPr>
                </pic:pic>
              </a:graphicData>
            </a:graphic>
          </wp:inline>
        </w:drawing>
      </w:r>
    </w:p>
    <w:p>
      <w:pPr>
        <w:spacing w:line="240" w:lineRule="auto" w:after="200" w:before="80"/>
        <w:jc w:val="center"/>
      </w:pPr>
      <w:r>
        <w:rPr>
          <w:rFonts w:ascii="Times New Roman" w:hAnsi="Times New Roman" w:cs="Times New Roman" w:eastAsia="Times New Roman"/>
          <w:b w:val="0"/>
          <w:i w:val="0"/>
          <w:sz w:val="22"/>
        </w:rPr>
        <w:t>Fig. 7. Class diagram of the core domain model</w:t>
      </w:r>
    </w:p>
    <w:p>
      <w:pPr>
        <w:spacing w:line="360" w:lineRule="auto" w:after="80" w:before="160"/>
      </w:pPr>
      <w:r>
        <w:rPr>
          <w:rFonts w:ascii="Times New Roman" w:hAnsi="Times New Roman" w:cs="Times New Roman" w:eastAsia="Times New Roman"/>
          <w:b/>
          <w:i/>
          <w:sz w:val="24"/>
        </w:rPr>
        <w:t>4.2.4 Sequence Diagram</w:t>
      </w:r>
    </w:p>
    <w:p>
      <w:pPr>
        <w:spacing w:line="276" w:lineRule="auto" w:after="160" w:before="0"/>
        <w:jc w:val="both"/>
      </w:pPr>
      <w:r>
        <w:rPr>
          <w:rFonts w:ascii="Times New Roman" w:hAnsi="Times New Roman" w:cs="Times New Roman" w:eastAsia="Times New Roman"/>
          <w:b w:val="0"/>
          <w:i w:val="0"/>
          <w:sz w:val="24"/>
        </w:rPr>
        <w:t>For a single pull request the interaction proceeds as follows. GitHub Actions invokes terraform plan and terraform show, then calls the agent command-line interface with the resulting plan file. The engine loads policy, invokes the parser, iterates the rule registry over each mutating resource, passes the resources and existing findings to the reasoner, applies waivers and thresholds, and returns a verdict. The CLI renders the reports, writes the GitHub outputs and terminates with the verdict exit code. The workflow then either publishes the report and halts, or proceeds to terraform apply.</w:t>
      </w:r>
    </w:p>
    <w:p>
      <w:pPr>
        <w:spacing w:before="160" w:after="40"/>
        <w:jc w:val="center"/>
      </w:pPr>
      <w:r>
        <w:drawing>
          <wp:inline xmlns:a="http://schemas.openxmlformats.org/drawingml/2006/main" xmlns:pic="http://schemas.openxmlformats.org/drawingml/2006/picture">
            <wp:extent cx="5760720" cy="3812509"/>
            <wp:docPr id="9" name="Picture 9"/>
            <wp:cNvGraphicFramePr>
              <a:graphicFrameLocks noChangeAspect="1"/>
            </wp:cNvGraphicFramePr>
            <a:graphic>
              <a:graphicData uri="http://schemas.openxmlformats.org/drawingml/2006/picture">
                <pic:pic>
                  <pic:nvPicPr>
                    <pic:cNvPr id="0" name="fig7_sequence.png"/>
                    <pic:cNvPicPr/>
                  </pic:nvPicPr>
                  <pic:blipFill>
                    <a:blip r:embed="rId17"/>
                    <a:stretch>
                      <a:fillRect/>
                    </a:stretch>
                  </pic:blipFill>
                  <pic:spPr>
                    <a:xfrm>
                      <a:off x="0" y="0"/>
                      <a:ext cx="5760720" cy="3812509"/>
                    </a:xfrm>
                    <a:prstGeom prst="rect"/>
                  </pic:spPr>
                </pic:pic>
              </a:graphicData>
            </a:graphic>
          </wp:inline>
        </w:drawing>
      </w:r>
    </w:p>
    <w:p>
      <w:pPr>
        <w:spacing w:line="240" w:lineRule="auto" w:after="200" w:before="80"/>
        <w:jc w:val="center"/>
      </w:pPr>
      <w:r>
        <w:rPr>
          <w:rFonts w:ascii="Times New Roman" w:hAnsi="Times New Roman" w:cs="Times New Roman" w:eastAsia="Times New Roman"/>
          <w:b w:val="0"/>
          <w:i w:val="0"/>
          <w:sz w:val="22"/>
        </w:rPr>
        <w:t>Fig. 8. Sequence diagram for a single pipeline run</w:t>
      </w:r>
    </w:p>
    <w:p>
      <w:r>
        <w:br w:type="page"/>
      </w:r>
    </w:p>
    <w:p>
      <w:pPr>
        <w:spacing w:line="360" w:lineRule="auto" w:after="160" w:before="240"/>
      </w:pPr>
      <w:r>
        <w:rPr>
          <w:rFonts w:ascii="Times New Roman" w:hAnsi="Times New Roman" w:cs="Times New Roman" w:eastAsia="Times New Roman"/>
          <w:b/>
          <w:i w:val="0"/>
          <w:sz w:val="28"/>
        </w:rPr>
        <w:t>5. REFERENCES</w:t>
      </w:r>
    </w:p>
    <w:p>
      <w:pPr>
        <w:spacing w:line="276" w:lineRule="auto" w:after="160" w:before="0"/>
      </w:pPr>
      <w:r>
        <w:rPr>
          <w:rFonts w:ascii="Times New Roman" w:hAnsi="Times New Roman" w:cs="Times New Roman" w:eastAsia="Times New Roman"/>
          <w:b/>
          <w:i w:val="0"/>
          <w:sz w:val="24"/>
        </w:rPr>
        <w:t>Journals and Conferences: &lt;IEEE Format&gt;</w:t>
      </w:r>
    </w:p>
    <w:p>
      <w:pPr>
        <w:spacing w:line="276" w:lineRule="auto" w:after="120"/>
        <w:ind w:left="576" w:hanging="576"/>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A. Rahman, C. Parnin, and L. Williams, "The seven sins: Security smells in infrastructure as code scripts," in Proc. IEEE/ACM 41st Int. Conf. Software Engineering (ICSE), Montreal, QC, Canada, 2019, pp. 164-175.</w:t>
      </w:r>
    </w:p>
    <w:p>
      <w:pPr>
        <w:spacing w:line="276" w:lineRule="auto" w:after="120"/>
        <w:ind w:left="576" w:hanging="576"/>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A. Rahman, M. R. Rahman, C. Parnin, and L. Williams, "Security smells in Ansible and Chef scripts: A replication study," ACM Trans. Software Engineering and Methodology, vol. 30, no. 1, pp. 1-31, 2021.</w:t>
      </w:r>
    </w:p>
    <w:p>
      <w:pPr>
        <w:spacing w:line="276" w:lineRule="auto" w:after="120"/>
        <w:ind w:left="576" w:hanging="576"/>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M. Guerriero, M. Garriga, D. A. Tamburri, and F. Palomba, "Adoption, support, and challenges of infrastructure-as-code: Insights from industry," in Proc. IEEE Int. Conf. Software Maintenance and Evolution (ICSME), Cleveland, OH, USA, 2019, pp. 580-589.</w:t>
      </w:r>
    </w:p>
    <w:p>
      <w:pPr>
        <w:spacing w:line="276" w:lineRule="auto" w:after="120"/>
        <w:ind w:left="576" w:hanging="576"/>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F. A. Bhuiyan and A. Rahman, "Characterizing co-located insecure coding patterns in infrastructure as code scripts," in Proc. 35th IEEE/ACM Int. Conf. Automated Software Engineering Workshops (ASEW), 2020, pp. 27-32.</w:t>
      </w:r>
    </w:p>
    <w:p>
      <w:pPr>
        <w:spacing w:line="276" w:lineRule="auto" w:after="120"/>
        <w:ind w:left="576" w:hanging="576"/>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R. Opdebeeck, A. Zerouali, and C. De Roover, "Smelly variables in Ansible infrastructure code: Detection, prevalence, and lifetime," in Proc. 19th Int. Conf. Mining Software Repositories (MSR), 2022, pp. 61-72.</w:t>
      </w:r>
    </w:p>
    <w:p>
      <w:pPr>
        <w:spacing w:line="276" w:lineRule="auto" w:after="120"/>
        <w:ind w:left="576" w:hanging="576"/>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N. Saavedra and J. F. Ferreira, "GLITCH: Automated polyglot security smell detection in infrastructure as code," in Proc. 37th IEEE/ACM Int. Conf. Automated Software Engineering (ASE), 2022, pp. 1-12.</w:t>
      </w:r>
    </w:p>
    <w:p>
      <w:pPr>
        <w:spacing w:line="276" w:lineRule="auto" w:after="120"/>
        <w:ind w:left="576" w:hanging="576"/>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M. Chiari, M. De Pascalis, and M. Pradella, "Static analysis of infrastructure as code: A survey," in Proc. IEEE 19th Int. Conf. Software Architecture Companion (ICSA-C), 2022, pp. 218-225.</w:t>
      </w:r>
    </w:p>
    <w:p>
      <w:pPr>
        <w:spacing w:line="276" w:lineRule="auto" w:after="120"/>
        <w:ind w:left="576" w:hanging="576"/>
        <w:jc w:val="both"/>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J. Sandobalin, E. Insfran, and S. Abrahao, "On the effectiveness of tools to support infrastructure as code: Model-driven versus code-centric," IEEE Access, vol. 8, pp. 17734-17761, 2020.</w:t>
      </w:r>
    </w:p>
    <w:p>
      <w:pPr>
        <w:spacing w:line="276" w:lineRule="auto" w:after="120"/>
        <w:ind w:left="576" w:hanging="576"/>
        <w:jc w:val="both"/>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M. Chen et al., "Evaluating large language models trained on code," arXiv preprint arXiv:2107.03374, 2021.</w:t>
      </w:r>
    </w:p>
    <w:p>
      <w:pPr>
        <w:spacing w:line="276" w:lineRule="auto" w:after="120"/>
        <w:ind w:left="576" w:hanging="576"/>
        <w:jc w:val="both"/>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T. B. Brown et al., "Language models are few-shot learners," in Proc. Advances in Neural Information Processing Systems (NeurIPS), vol. 33, 2020, pp. 1877-1901.</w:t>
      </w:r>
    </w:p>
    <w:p>
      <w:pPr>
        <w:spacing w:line="276" w:lineRule="auto" w:after="120"/>
        <w:ind w:left="576" w:hanging="576"/>
        <w:jc w:val="both"/>
      </w:pPr>
      <w:r>
        <w:rPr>
          <w:rFonts w:ascii="Times New Roman" w:hAnsi="Times New Roman" w:cs="Times New Roman" w:eastAsia="Times New Roman"/>
          <w:b w:val="0"/>
          <w:i w:val="0"/>
          <w:sz w:val="24"/>
        </w:rPr>
        <w:t xml:space="preserve">[11] </w:t>
      </w:r>
      <w:r>
        <w:rPr>
          <w:rFonts w:ascii="Times New Roman" w:hAnsi="Times New Roman" w:cs="Times New Roman" w:eastAsia="Times New Roman"/>
          <w:b w:val="0"/>
          <w:i w:val="0"/>
          <w:sz w:val="24"/>
        </w:rPr>
        <w:t>P. Lewis et al., "Retrieval-augmented generation for knowledge-intensive NLP tasks," in Proc. Advances in Neural Information Processing Systems (NeurIPS), vol. 33, 2020, pp. 9459-9474.</w:t>
      </w:r>
    </w:p>
    <w:p>
      <w:pPr>
        <w:spacing w:line="276" w:lineRule="auto" w:after="120"/>
        <w:ind w:left="576" w:hanging="576"/>
        <w:jc w:val="both"/>
      </w:pPr>
      <w:r>
        <w:rPr>
          <w:rFonts w:ascii="Times New Roman" w:hAnsi="Times New Roman" w:cs="Times New Roman" w:eastAsia="Times New Roman"/>
          <w:b w:val="0"/>
          <w:i w:val="0"/>
          <w:sz w:val="24"/>
        </w:rPr>
        <w:t xml:space="preserve">[12] </w:t>
      </w:r>
      <w:r>
        <w:rPr>
          <w:rFonts w:ascii="Times New Roman" w:hAnsi="Times New Roman" w:cs="Times New Roman" w:eastAsia="Times New Roman"/>
          <w:b w:val="0"/>
          <w:i w:val="0"/>
          <w:sz w:val="24"/>
        </w:rPr>
        <w:t>T. Sandall and various contributors, "Open Policy Agent: An open source, general-purpose policy engine," Cloud Native Computing Foundation, Technical Documentation, 2023.</w:t>
      </w:r>
    </w:p>
    <w:p>
      <w:pPr>
        <w:spacing w:line="276" w:lineRule="auto" w:after="120"/>
        <w:ind w:left="576" w:hanging="576"/>
        <w:jc w:val="both"/>
      </w:pPr>
      <w:r>
        <w:rPr>
          <w:rFonts w:ascii="Times New Roman" w:hAnsi="Times New Roman" w:cs="Times New Roman" w:eastAsia="Times New Roman"/>
          <w:b w:val="0"/>
          <w:i w:val="0"/>
          <w:sz w:val="24"/>
        </w:rPr>
        <w:t xml:space="preserve">[13] </w:t>
      </w:r>
      <w:r>
        <w:rPr>
          <w:rFonts w:ascii="Times New Roman" w:hAnsi="Times New Roman" w:cs="Times New Roman" w:eastAsia="Times New Roman"/>
          <w:b w:val="0"/>
          <w:i w:val="0"/>
          <w:sz w:val="24"/>
        </w:rPr>
        <w:t>HashiCorp, "Sentinel: Policy as code framework," HashiCorp Technical Documentation, 2024.</w:t>
      </w:r>
    </w:p>
    <w:p>
      <w:pPr>
        <w:spacing w:line="276" w:lineRule="auto" w:after="120"/>
        <w:ind w:left="576" w:hanging="576"/>
        <w:jc w:val="both"/>
      </w:pPr>
      <w:r>
        <w:rPr>
          <w:rFonts w:ascii="Times New Roman" w:hAnsi="Times New Roman" w:cs="Times New Roman" w:eastAsia="Times New Roman"/>
          <w:b w:val="0"/>
          <w:i w:val="0"/>
          <w:sz w:val="24"/>
        </w:rPr>
        <w:t xml:space="preserve">[14] </w:t>
      </w:r>
      <w:r>
        <w:rPr>
          <w:rFonts w:ascii="Times New Roman" w:hAnsi="Times New Roman" w:cs="Times New Roman" w:eastAsia="Times New Roman"/>
          <w:b w:val="0"/>
          <w:i w:val="0"/>
          <w:sz w:val="24"/>
        </w:rPr>
        <w:t>H. Pearce, B. Ahmad, B. Tan, B. Dolan-Gavitt, and R. Karri, "Asleep at the keyboard? Assessing the security of GitHub Copilot's code contributions," in Proc. IEEE Symp. Security and Privacy (S&amp;P), 2022, pp. 754-768.</w:t>
      </w:r>
    </w:p>
    <w:p>
      <w:pPr>
        <w:spacing w:line="276" w:lineRule="auto" w:after="120"/>
        <w:ind w:left="576" w:hanging="576"/>
        <w:jc w:val="both"/>
      </w:pPr>
      <w:r>
        <w:rPr>
          <w:rFonts w:ascii="Times New Roman" w:hAnsi="Times New Roman" w:cs="Times New Roman" w:eastAsia="Times New Roman"/>
          <w:b w:val="0"/>
          <w:i w:val="0"/>
          <w:sz w:val="24"/>
        </w:rPr>
        <w:t xml:space="preserve">[15] </w:t>
      </w:r>
      <w:r>
        <w:rPr>
          <w:rFonts w:ascii="Times New Roman" w:hAnsi="Times New Roman" w:cs="Times New Roman" w:eastAsia="Times New Roman"/>
          <w:b w:val="0"/>
          <w:i w:val="0"/>
          <w:sz w:val="24"/>
        </w:rPr>
        <w:t>E. Malul, Y. Meidan, D. Mimran, Y. Elovici, and A. Shabtai, "GenKubeSec: LLM-based Kubernetes misconfiguration detection, localization, reasoning, and remediation," arXiv preprint arXiv:2405.19954, 2024.</w:t>
      </w:r>
    </w:p>
    <w:p>
      <w:pPr>
        <w:spacing w:line="276" w:lineRule="auto" w:after="120"/>
        <w:ind w:left="576" w:hanging="576"/>
        <w:jc w:val="both"/>
      </w:pPr>
      <w:r>
        <w:rPr>
          <w:rFonts w:ascii="Times New Roman" w:hAnsi="Times New Roman" w:cs="Times New Roman" w:eastAsia="Times New Roman"/>
          <w:b w:val="0"/>
          <w:i w:val="0"/>
          <w:sz w:val="24"/>
        </w:rPr>
        <w:t xml:space="preserve">[16] </w:t>
      </w:r>
      <w:r>
        <w:rPr>
          <w:rFonts w:ascii="Times New Roman" w:hAnsi="Times New Roman" w:cs="Times New Roman" w:eastAsia="Times New Roman"/>
          <w:b w:val="0"/>
          <w:i w:val="0"/>
          <w:sz w:val="24"/>
        </w:rPr>
        <w:t>Q.-H. Vo, H. Dao, and K. Fukuda, "Harnessing the power of LLMs for code smell detection in Terraform infrastructure as code," in Proc. IEEE 49th Annu. Computers, Software, and Applications Conf. (COMPSAC), 2025, pp. 533-542.</w:t>
      </w:r>
    </w:p>
    <w:p>
      <w:pPr>
        <w:spacing w:line="276" w:lineRule="auto" w:after="80" w:before="0"/>
      </w:pPr>
    </w:p>
    <w:p>
      <w:pPr>
        <w:spacing w:line="276" w:lineRule="auto" w:after="120" w:before="160"/>
      </w:pPr>
      <w:r>
        <w:rPr>
          <w:rFonts w:ascii="Times New Roman" w:hAnsi="Times New Roman" w:cs="Times New Roman" w:eastAsia="Times New Roman"/>
          <w:b/>
          <w:i w:val="0"/>
          <w:sz w:val="24"/>
        </w:rPr>
        <w:t>Weblinks:</w:t>
      </w:r>
    </w:p>
    <w:p>
      <w:pPr>
        <w:spacing w:line="276" w:lineRule="auto" w:after="100"/>
        <w:ind w:left="576" w:hanging="576"/>
      </w:pPr>
      <w:r>
        <w:rPr>
          <w:rFonts w:ascii="Times New Roman" w:hAnsi="Times New Roman" w:cs="Times New Roman" w:eastAsia="Times New Roman"/>
          <w:b w:val="0"/>
          <w:i w:val="0"/>
          <w:sz w:val="24"/>
        </w:rPr>
        <w:t xml:space="preserve">[W1] </w:t>
      </w:r>
      <w:r>
        <w:rPr>
          <w:rFonts w:ascii="Times New Roman" w:hAnsi="Times New Roman" w:cs="Times New Roman" w:eastAsia="Times New Roman"/>
          <w:b w:val="0"/>
          <w:i w:val="0"/>
          <w:sz w:val="24"/>
        </w:rPr>
        <w:t>Microsoft, "Microsoft Cloud Adoption Framework for Azure," https://learn.microsoft.com/en-us/azure/cloud-adoption-framework/</w:t>
      </w:r>
    </w:p>
    <w:p>
      <w:pPr>
        <w:spacing w:line="276" w:lineRule="auto" w:after="100"/>
        <w:ind w:left="576" w:hanging="576"/>
      </w:pPr>
      <w:r>
        <w:rPr>
          <w:rFonts w:ascii="Times New Roman" w:hAnsi="Times New Roman" w:cs="Times New Roman" w:eastAsia="Times New Roman"/>
          <w:b w:val="0"/>
          <w:i w:val="0"/>
          <w:sz w:val="24"/>
        </w:rPr>
        <w:t xml:space="preserve">[W2] </w:t>
      </w:r>
      <w:r>
        <w:rPr>
          <w:rFonts w:ascii="Times New Roman" w:hAnsi="Times New Roman" w:cs="Times New Roman" w:eastAsia="Times New Roman"/>
          <w:b w:val="0"/>
          <w:i w:val="0"/>
          <w:sz w:val="24"/>
        </w:rPr>
        <w:t>Microsoft, "Azure Well-Architected Framework," https://learn.microsoft.com/en-us/azure/well-architected/</w:t>
      </w:r>
    </w:p>
    <w:p>
      <w:pPr>
        <w:spacing w:line="276" w:lineRule="auto" w:after="100"/>
        <w:ind w:left="576" w:hanging="576"/>
      </w:pPr>
      <w:r>
        <w:rPr>
          <w:rFonts w:ascii="Times New Roman" w:hAnsi="Times New Roman" w:cs="Times New Roman" w:eastAsia="Times New Roman"/>
          <w:b w:val="0"/>
          <w:i w:val="0"/>
          <w:sz w:val="24"/>
        </w:rPr>
        <w:t xml:space="preserve">[W3] </w:t>
      </w:r>
      <w:r>
        <w:rPr>
          <w:rFonts w:ascii="Times New Roman" w:hAnsi="Times New Roman" w:cs="Times New Roman" w:eastAsia="Times New Roman"/>
          <w:b w:val="0"/>
          <w:i w:val="0"/>
          <w:sz w:val="24"/>
        </w:rPr>
        <w:t>HashiCorp, "Terraform JSON output format," https://developer.hashicorp.com/terraform/internals/json-format</w:t>
      </w:r>
    </w:p>
    <w:p>
      <w:pPr>
        <w:spacing w:line="276" w:lineRule="auto" w:after="100"/>
        <w:ind w:left="576" w:hanging="576"/>
      </w:pPr>
      <w:r>
        <w:rPr>
          <w:rFonts w:ascii="Times New Roman" w:hAnsi="Times New Roman" w:cs="Times New Roman" w:eastAsia="Times New Roman"/>
          <w:b w:val="0"/>
          <w:i w:val="0"/>
          <w:sz w:val="24"/>
        </w:rPr>
        <w:t xml:space="preserve">[W4] </w:t>
      </w:r>
      <w:r>
        <w:rPr>
          <w:rFonts w:ascii="Times New Roman" w:hAnsi="Times New Roman" w:cs="Times New Roman" w:eastAsia="Times New Roman"/>
          <w:b w:val="0"/>
          <w:i w:val="0"/>
          <w:sz w:val="24"/>
        </w:rPr>
        <w:t>GitHub, "Configuring OpenID Connect in Azure," https://docs.github.com/en/actions/deployment/security-hardening-your-deployments/configuring-openid-connect-in-azure</w:t>
      </w:r>
    </w:p>
    <w:p>
      <w:pPr>
        <w:spacing w:line="276" w:lineRule="auto" w:after="100"/>
        <w:ind w:left="576" w:hanging="576"/>
      </w:pPr>
      <w:r>
        <w:rPr>
          <w:rFonts w:ascii="Times New Roman" w:hAnsi="Times New Roman" w:cs="Times New Roman" w:eastAsia="Times New Roman"/>
          <w:b w:val="0"/>
          <w:i w:val="0"/>
          <w:sz w:val="24"/>
        </w:rPr>
        <w:t xml:space="preserve">[W5] </w:t>
      </w:r>
      <w:r>
        <w:rPr>
          <w:rFonts w:ascii="Times New Roman" w:hAnsi="Times New Roman" w:cs="Times New Roman" w:eastAsia="Times New Roman"/>
          <w:b w:val="0"/>
          <w:i w:val="0"/>
          <w:sz w:val="24"/>
        </w:rPr>
        <w:t>Prisma Cloud, "Checkov: Policy-as-code for infrastructure," https://www.checkov.io/</w:t>
      </w:r>
    </w:p>
    <w:p>
      <w:pPr>
        <w:spacing w:line="276" w:lineRule="auto" w:after="100"/>
        <w:ind w:left="576" w:hanging="576"/>
      </w:pPr>
      <w:r>
        <w:rPr>
          <w:rFonts w:ascii="Times New Roman" w:hAnsi="Times New Roman" w:cs="Times New Roman" w:eastAsia="Times New Roman"/>
          <w:b w:val="0"/>
          <w:i w:val="0"/>
          <w:sz w:val="24"/>
        </w:rPr>
        <w:t xml:space="preserve">[W6] </w:t>
      </w:r>
      <w:r>
        <w:rPr>
          <w:rFonts w:ascii="Times New Roman" w:hAnsi="Times New Roman" w:cs="Times New Roman" w:eastAsia="Times New Roman"/>
          <w:b w:val="0"/>
          <w:i w:val="0"/>
          <w:sz w:val="24"/>
        </w:rPr>
        <w:t>OASIS, "Static Analysis Results Interchange Format (SARIF) Version 2.1.0," https://docs.oasis-open.org/sarif/sarif/v2.1.0/</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