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8C1515"/>
          <w:sz w:val="18"/>
          <w:spacing w:val="40"/>
        </w:rPr>
        <w:t>RESULTS REPORT</w:t>
      </w:r>
    </w:p>
    <w:p>
      <w:pPr>
        <w:spacing w:after="120"/>
        <w:pBdr>
          <w:bottom w:val="single" w:sz="12" w:space="4" w:color="8C1515"/>
        </w:pBdr>
      </w:pPr>
      <w:r>
        <w:rPr>
          <w:rFonts w:ascii="Calibri" w:hAnsi="Calibri"/>
          <w:b/>
          <w:i w:val="0"/>
          <w:color w:val="1A1A1A"/>
          <w:sz w:val="36"/>
        </w:rPr>
        <w:t>SH800 pipeline validation: CD4-PE on Cytotrol PBMC at three instrument settings</w:t>
      </w:r>
    </w:p>
    <w:tbl>
      <w:tblPr>
        <w:tblW w:type="auto" w:w="0"/>
        <w:jc w:val="left"/>
        <w:tblLook w:firstColumn="1" w:firstRow="1" w:lastColumn="0" w:lastRow="0" w:noHBand="0" w:noVBand="1" w:val="04A0"/>
        <w:tblBorders>
          <w:top w:val="none"/>
          <w:left w:val="none"/>
          <w:bottom w:val="none"/>
          <w:right w:val="none"/>
          <w:insideH w:val="none"/>
          <w:insideV w:val="none"/>
        </w:tblBorders>
        <w:tblCellMar>
          <w:top w:w="60" w:type="dxa"/>
          <w:bottom w:w="60" w:type="dxa"/>
          <w:start w:w="100" w:type="dxa"/>
          <w:end w:w="100" w:type="dxa"/>
        </w:tblCellMar>
      </w:tblPr>
      <w:tblGrid>
        <w:gridCol w:w="2304"/>
        <w:gridCol w:w="7488"/>
      </w:tblGrid>
      <w:tr>
        <w:tc>
          <w:tcPr>
            <w:tcW w:type="dxa" w:w="2304"/>
          </w:tcPr>
          <w:p>
            <w:pPr>
              <w:spacing w:after="0"/>
            </w:pPr>
            <w:r>
              <w:rPr>
                <w:rFonts w:ascii="Calibri" w:hAnsi="Calibri"/>
                <w:b/>
                <w:i w:val="0"/>
                <w:color w:val="5A5A5A"/>
                <w:sz w:val="19"/>
              </w:rPr>
              <w:t>Lab member</w:t>
            </w:r>
          </w:p>
        </w:tc>
        <w:tc>
          <w:tcPr>
            <w:tcW w:type="dxa" w:w="7488"/>
          </w:tcPr>
          <w:p>
            <w:pPr>
              <w:spacing w:after="0"/>
            </w:pPr>
            <w:r>
              <w:rPr>
                <w:rFonts w:ascii="Calibri" w:hAnsi="Calibri"/>
                <w:b w:val="0"/>
                <w:i w:val="0"/>
                <w:color w:val="1A1A1A"/>
                <w:sz w:val="19"/>
              </w:rPr>
              <w:t>Example (pipeline validation on public data)</w:t>
            </w:r>
          </w:p>
        </w:tc>
      </w:tr>
      <w:tr>
        <w:tc>
          <w:tcPr>
            <w:tcW w:type="dxa" w:w="2304"/>
          </w:tcPr>
          <w:p>
            <w:pPr>
              <w:spacing w:after="0"/>
            </w:pPr>
            <w:r>
              <w:rPr>
                <w:rFonts w:ascii="Calibri" w:hAnsi="Calibri"/>
                <w:b/>
                <w:i w:val="0"/>
                <w:color w:val="5A5A5A"/>
                <w:sz w:val="19"/>
              </w:rPr>
              <w:t>Date</w:t>
            </w:r>
          </w:p>
        </w:tc>
        <w:tc>
          <w:tcPr>
            <w:tcW w:type="dxa" w:w="7488"/>
          </w:tcPr>
          <w:p>
            <w:pPr>
              <w:spacing w:after="0"/>
            </w:pPr>
            <w:r>
              <w:rPr>
                <w:rFonts w:ascii="Calibri" w:hAnsi="Calibri"/>
                <w:b w:val="0"/>
                <w:i w:val="0"/>
                <w:color w:val="1A1A1A"/>
                <w:sz w:val="19"/>
              </w:rPr>
              <w:t>2026-10-08</w:t>
            </w:r>
          </w:p>
        </w:tc>
      </w:tr>
      <w:tr>
        <w:tc>
          <w:tcPr>
            <w:tcW w:type="dxa" w:w="2304"/>
          </w:tcPr>
          <w:p>
            <w:pPr>
              <w:spacing w:after="0"/>
            </w:pPr>
            <w:r>
              <w:rPr>
                <w:rFonts w:ascii="Calibri" w:hAnsi="Calibri"/>
                <w:b/>
                <w:i w:val="0"/>
                <w:color w:val="5A5A5A"/>
                <w:sz w:val="19"/>
              </w:rPr>
              <w:t>Project / Aim</w:t>
            </w:r>
          </w:p>
        </w:tc>
        <w:tc>
          <w:tcPr>
            <w:tcW w:type="dxa" w:w="7488"/>
          </w:tcPr>
          <w:p>
            <w:pPr>
              <w:spacing w:after="0"/>
            </w:pPr>
            <w:r>
              <w:rPr>
                <w:rFonts w:ascii="Calibri" w:hAnsi="Calibri"/>
                <w:b w:val="0"/>
                <w:i w:val="0"/>
                <w:color w:val="1A1A1A"/>
                <w:sz w:val="19"/>
              </w:rPr>
              <w:t>SH800 flow pipeline validation (lab methods)</w:t>
            </w:r>
          </w:p>
        </w:tc>
      </w:tr>
      <w:tr>
        <w:tc>
          <w:tcPr>
            <w:tcW w:type="dxa" w:w="2304"/>
          </w:tcPr>
          <w:p>
            <w:pPr>
              <w:spacing w:after="0"/>
            </w:pPr>
            <w:r>
              <w:rPr>
                <w:rFonts w:ascii="Calibri" w:hAnsi="Calibri"/>
                <w:b/>
                <w:i w:val="0"/>
                <w:color w:val="5A5A5A"/>
                <w:sz w:val="19"/>
              </w:rPr>
              <w:t>Reporting period</w:t>
            </w:r>
          </w:p>
        </w:tc>
        <w:tc>
          <w:tcPr>
            <w:tcW w:type="dxa" w:w="7488"/>
          </w:tcPr>
          <w:p>
            <w:pPr>
              <w:spacing w:after="0"/>
            </w:pPr>
            <w:r>
              <w:rPr>
                <w:rFonts w:ascii="Calibri" w:hAnsi="Calibri"/>
                <w:b w:val="0"/>
                <w:i w:val="0"/>
                <w:color w:val="1A1A1A"/>
                <w:sz w:val="19"/>
              </w:rPr>
              <w:t>2026-10-08 (analysis of data acquired 04-Jul-2025)</w:t>
            </w:r>
          </w:p>
        </w:tc>
      </w:tr>
      <w:tr>
        <w:tc>
          <w:tcPr>
            <w:tcW w:type="dxa" w:w="2304"/>
          </w:tcPr>
          <w:p>
            <w:pPr>
              <w:spacing w:after="0"/>
            </w:pPr>
            <w:r>
              <w:rPr>
                <w:rFonts w:ascii="Calibri" w:hAnsi="Calibri"/>
                <w:b/>
                <w:i w:val="0"/>
                <w:color w:val="5A5A5A"/>
                <w:sz w:val="19"/>
              </w:rPr>
              <w:t>Assay / platform</w:t>
            </w:r>
          </w:p>
        </w:tc>
        <w:tc>
          <w:tcPr>
            <w:tcW w:type="dxa" w:w="7488"/>
          </w:tcPr>
          <w:p>
            <w:pPr>
              <w:spacing w:after="0"/>
            </w:pPr>
            <w:r>
              <w:rPr>
                <w:rFonts w:ascii="Calibri" w:hAnsi="Calibri"/>
                <w:b w:val="0"/>
                <w:i w:val="0"/>
                <w:color w:val="1A1A1A"/>
                <w:sz w:val="19"/>
              </w:rPr>
              <w:t>Flow cytometry, Sony SH800 (instrument code LE-SH800SZFCPL); analysis only, sh800-flow-analysis pipeline</w:t>
            </w:r>
          </w:p>
        </w:tc>
      </w:tr>
      <w:tr>
        <w:tc>
          <w:tcPr>
            <w:tcW w:type="dxa" w:w="2304"/>
          </w:tcPr>
          <w:p>
            <w:pPr>
              <w:spacing w:after="0"/>
            </w:pPr>
            <w:r>
              <w:rPr>
                <w:rFonts w:ascii="Calibri" w:hAnsi="Calibri"/>
                <w:b/>
                <w:i w:val="0"/>
                <w:color w:val="5A5A5A"/>
                <w:sz w:val="19"/>
              </w:rPr>
              <w:t>Status</w:t>
            </w:r>
          </w:p>
        </w:tc>
        <w:tc>
          <w:tcPr>
            <w:tcW w:type="dxa" w:w="7488"/>
          </w:tcPr>
          <w:p>
            <w:pPr>
              <w:spacing w:after="0"/>
            </w:pPr>
            <w:r>
              <w:rPr>
                <w:rFonts w:ascii="Calibri" w:hAnsi="Calibri"/>
                <w:b w:val="0"/>
                <w:i w:val="0"/>
                <w:color w:val="1A1A1A"/>
                <w:sz w:val="19"/>
              </w:rPr>
              <w:t>On track — decision needed</w:t>
            </w:r>
          </w:p>
        </w:tc>
      </w:tr>
    </w:tbl>
    <w:p>
      <w:pPr>
        <w:spacing w:after="40"/>
      </w:pPr>
    </w:p>
    <w:p>
      <w:pPr>
        <w:keepNext/>
        <w:spacing w:before="200" w:after="60"/>
      </w:pPr>
      <w:r>
        <w:rPr>
          <w:rFonts w:ascii="Calibri" w:hAnsi="Calibri"/>
          <w:b/>
          <w:i w:val="0"/>
          <w:color w:val="8C1515"/>
          <w:sz w:val="26"/>
        </w:rPr>
        <w:t>1. Objective this period</w:t>
      </w:r>
    </w:p>
    <w:p>
      <w:pPr>
        <w:spacing w:after="120" w:line="276" w:lineRule="auto"/>
      </w:pPr>
      <w:r>
        <w:rPr>
          <w:rFonts w:ascii="Calibri" w:hAnsi="Calibri"/>
          <w:b w:val="0"/>
          <w:i w:val="0"/>
          <w:color w:val="1A1A1A"/>
          <w:sz w:val="21"/>
        </w:rPr>
        <w:t>Check that the SH800 pipeline's QC and gating give a stable CD4+ frequency across three instrument settings (Low, Medium, High) on one sample.</w:t>
      </w:r>
    </w:p>
    <w:p>
      <w:pPr>
        <w:keepNext/>
        <w:spacing w:before="200" w:after="60"/>
      </w:pPr>
      <w:r>
        <w:rPr>
          <w:rFonts w:ascii="Calibri" w:hAnsi="Calibri"/>
          <w:b/>
          <w:i w:val="0"/>
          <w:color w:val="8C1515"/>
          <w:sz w:val="26"/>
        </w:rPr>
        <w:t>2. Summary</w:t>
      </w:r>
    </w:p>
    <w:p>
      <w:pPr>
        <w:pStyle w:val="ListBullet"/>
        <w:spacing w:after="40" w:line="264" w:lineRule="auto"/>
      </w:pPr>
      <w:r>
        <w:rPr>
          <w:rFonts w:ascii="Calibri" w:hAnsi="Calibri"/>
          <w:b w:val="0"/>
          <w:i w:val="0"/>
          <w:color w:val="1A1A1A"/>
          <w:sz w:val="21"/>
        </w:rPr>
        <w:t>Ran the sh800-flow-analysis pipeline on six public SH800 files from one lot of lyophilized BD Cytotrol PBMC: a CD4-PE tube and an unstained tube at each of the Low, Medium and High settings (n = 1 biological sample).</w:t>
      </w:r>
    </w:p>
    <w:p>
      <w:pPr>
        <w:pStyle w:val="ListBullet"/>
        <w:spacing w:after="40" w:line="264" w:lineRule="auto"/>
      </w:pPr>
      <w:r>
        <w:rPr>
          <w:rFonts w:ascii="Calibri" w:hAnsi="Calibri"/>
          <w:b w:val="0"/>
          <w:i w:val="0"/>
          <w:color w:val="1A1A1A"/>
          <w:sz w:val="21"/>
        </w:rPr>
        <w:t>CD4+ was 57.2% (Low), 58.0% (Medium) and 59.7% (High) of singlets; the matched unstained controls read 0.5% by construction of the 99.5th-percentile threshold.</w:t>
      </w:r>
    </w:p>
    <w:p>
      <w:pPr>
        <w:pStyle w:val="ListBullet"/>
        <w:spacing w:after="40" w:line="264" w:lineRule="auto"/>
      </w:pPr>
      <w:r>
        <w:rPr>
          <w:rFonts w:ascii="Calibri" w:hAnsi="Calibri"/>
          <w:b w:val="0"/>
          <w:i w:val="0"/>
          <w:color w:val="1A1A1A"/>
          <w:sz w:val="21"/>
        </w:rPr>
        <w:t>Resolution improved from Low to Medium and changed little from Medium to High: stain index 71.8, 95.7 and 99.6.</w:t>
      </w:r>
    </w:p>
    <w:p>
      <w:pPr>
        <w:pStyle w:val="ListBullet"/>
        <w:spacing w:after="40" w:line="264" w:lineRule="auto"/>
      </w:pPr>
      <w:r>
        <w:rPr>
          <w:rFonts w:ascii="Calibri" w:hAnsi="Calibri"/>
          <w:b w:val="0"/>
          <w:i w:val="0"/>
          <w:color w:val="1A1A1A"/>
          <w:sz w:val="21"/>
        </w:rPr>
        <w:t>QC: cells were 15.1-18.1% of events (the rest is debris, typical of lyophilized material); the size-aware singlet gate kept 76.9-79.9% of cells, with no kept event above FSC-A/FSC-H 1.5. The CD4+ gate includes CD4-dim monocytes, so this is not a CD4 T-cell frequency.</w:t>
      </w:r>
    </w:p>
    <w:p>
      <w:pPr>
        <w:pStyle w:val="ListBullet"/>
        <w:spacing w:after="40" w:line="264" w:lineRule="auto"/>
      </w:pPr>
      <w:r>
        <w:rPr>
          <w:rFonts w:ascii="Calibri" w:hAnsi="Calibri"/>
          <w:b w:val="0"/>
          <w:i w:val="0"/>
          <w:color w:val="1A1A1A"/>
          <w:sz w:val="21"/>
        </w:rPr>
        <w:t>Decision needed: whether to adopt the size-aware singlet gate as the lab default for SH800 data.</w:t>
      </w:r>
    </w:p>
    <w:p>
      <w:pPr>
        <w:keepNext/>
        <w:spacing w:before="200" w:after="60"/>
      </w:pPr>
      <w:r>
        <w:rPr>
          <w:rFonts w:ascii="Calibri" w:hAnsi="Calibri"/>
          <w:b/>
          <w:i w:val="0"/>
          <w:color w:val="8C1515"/>
          <w:sz w:val="26"/>
        </w:rPr>
        <w:t>3. Methods &amp; samples</w:t>
      </w:r>
    </w:p>
    <w:tbl>
      <w:tblPr>
        <w:tblW w:type="auto" w:w="0"/>
        <w:tblLook w:firstColumn="1" w:firstRow="1" w:lastColumn="0" w:lastRow="0" w:noHBand="0" w:noVBand="1" w:val="04A0"/>
        <w:tblBorders>
          <w:top w:val="single" w:sz="4" w:color="8C1515"/>
          <w:bottom w:val="single" w:sz="4" w:color="8C1515"/>
          <w:insideH w:val="single" w:sz="4" w:color="8C1515"/>
          <w:left w:val="none"/>
          <w:right w:val="none"/>
          <w:insideV w:val="none"/>
        </w:tblBorders>
        <w:tblCellMar>
          <w:top w:w="60" w:type="dxa"/>
          <w:bottom w:w="60" w:type="dxa"/>
          <w:start w:w="100" w:type="dxa"/>
          <w:end w:w="100" w:type="dxa"/>
        </w:tblCellMar>
      </w:tblPr>
      <w:tblGrid>
        <w:gridCol w:w="3168"/>
        <w:gridCol w:w="6624"/>
      </w:tblGrid>
      <w:tr>
        <w:tc>
          <w:tcPr>
            <w:tcW w:type="dxa" w:w="3168"/>
          </w:tcPr>
          <w:p>
            <w:pPr>
              <w:spacing w:after="20"/>
            </w:pPr>
            <w:r>
              <w:rPr>
                <w:rFonts w:ascii="Calibri" w:hAnsi="Calibri"/>
                <w:b/>
                <w:i w:val="0"/>
                <w:color w:val="1A1A1A"/>
                <w:sz w:val="20"/>
              </w:rPr>
              <w:t>Instrument</w:t>
            </w:r>
          </w:p>
        </w:tc>
        <w:tc>
          <w:tcPr>
            <w:tcW w:type="dxa" w:w="6624"/>
          </w:tcPr>
          <w:p>
            <w:pPr>
              <w:spacing w:after="20"/>
            </w:pPr>
            <w:r>
              <w:rPr>
                <w:rFonts w:ascii="Calibri" w:hAnsi="Calibri"/>
                <w:b w:val="0"/>
                <w:i w:val="0"/>
                <w:color w:val="1A1A1A"/>
                <w:sz w:val="20"/>
              </w:rPr>
              <w:t>Sony SH800 (instrument code LE-SH800SZFCPL, serial 314135), University of Ottawa Flow Cytometry &amp; Virometry Core</w:t>
            </w:r>
          </w:p>
        </w:tc>
      </w:tr>
      <w:tr>
        <w:tc>
          <w:tcPr>
            <w:tcW w:type="dxa" w:w="3168"/>
          </w:tcPr>
          <w:p>
            <w:pPr>
              <w:spacing w:after="20"/>
            </w:pPr>
            <w:r>
              <w:rPr>
                <w:rFonts w:ascii="Calibri" w:hAnsi="Calibri"/>
                <w:b/>
                <w:i w:val="0"/>
                <w:color w:val="1A1A1A"/>
                <w:sz w:val="20"/>
              </w:rPr>
              <w:t>Acquisition date(s)</w:t>
            </w:r>
          </w:p>
        </w:tc>
        <w:tc>
          <w:tcPr>
            <w:tcW w:type="dxa" w:w="6624"/>
          </w:tcPr>
          <w:p>
            <w:pPr>
              <w:spacing w:after="20"/>
            </w:pPr>
            <w:r>
              <w:rPr>
                <w:rFonts w:ascii="Calibri" w:hAnsi="Calibri"/>
                <w:b w:val="0"/>
                <w:i w:val="0"/>
                <w:color w:val="1A1A1A"/>
                <w:sz w:val="20"/>
              </w:rPr>
              <w:t>04-Jul-2025</w:t>
            </w:r>
          </w:p>
        </w:tc>
      </w:tr>
      <w:tr>
        <w:tc>
          <w:tcPr>
            <w:tcW w:type="dxa" w:w="3168"/>
          </w:tcPr>
          <w:p>
            <w:pPr>
              <w:spacing w:after="20"/>
            </w:pPr>
            <w:r>
              <w:rPr>
                <w:rFonts w:ascii="Calibri" w:hAnsi="Calibri"/>
                <w:b/>
                <w:i w:val="0"/>
                <w:color w:val="1A1A1A"/>
                <w:sz w:val="20"/>
              </w:rPr>
              <w:t>Files analyzed</w:t>
            </w:r>
          </w:p>
        </w:tc>
        <w:tc>
          <w:tcPr>
            <w:tcW w:type="dxa" w:w="6624"/>
          </w:tcPr>
          <w:p>
            <w:pPr>
              <w:spacing w:after="20"/>
            </w:pPr>
            <w:r>
              <w:rPr>
                <w:rFonts w:ascii="Calibri" w:hAnsi="Calibri"/>
                <w:b w:val="0"/>
                <w:i w:val="0"/>
                <w:color w:val="1A1A1A"/>
                <w:sz w:val="20"/>
              </w:rPr>
              <w:t>6 FCS 3.1 files: 3 stained, 3 negative control</w:t>
            </w:r>
          </w:p>
        </w:tc>
      </w:tr>
      <w:tr>
        <w:tc>
          <w:tcPr>
            <w:tcW w:type="dxa" w:w="3168"/>
          </w:tcPr>
          <w:p>
            <w:pPr>
              <w:spacing w:after="20"/>
            </w:pPr>
            <w:r>
              <w:rPr>
                <w:rFonts w:ascii="Calibri" w:hAnsi="Calibri"/>
                <w:b/>
                <w:i w:val="0"/>
                <w:color w:val="1A1A1A"/>
                <w:sz w:val="20"/>
              </w:rPr>
              <w:t>Stained samples</w:t>
            </w:r>
          </w:p>
        </w:tc>
        <w:tc>
          <w:tcPr>
            <w:tcW w:type="dxa" w:w="6624"/>
          </w:tcPr>
          <w:p>
            <w:pPr>
              <w:spacing w:after="20"/>
            </w:pPr>
            <w:r>
              <w:rPr>
                <w:rFonts w:ascii="Calibri" w:hAnsi="Calibri"/>
                <w:b w:val="0"/>
                <w:i w:val="0"/>
                <w:color w:val="1A1A1A"/>
                <w:sz w:val="20"/>
              </w:rPr>
              <w:t>CD4-PE, Low; CD4-PE, Medium; CD4-PE, High</w:t>
            </w:r>
          </w:p>
        </w:tc>
      </w:tr>
      <w:tr>
        <w:tc>
          <w:tcPr>
            <w:tcW w:type="dxa" w:w="3168"/>
          </w:tcPr>
          <w:p>
            <w:pPr>
              <w:spacing w:after="20"/>
            </w:pPr>
            <w:r>
              <w:rPr>
                <w:rFonts w:ascii="Calibri" w:hAnsi="Calibri"/>
                <w:b/>
                <w:i w:val="0"/>
                <w:color w:val="1A1A1A"/>
                <w:sz w:val="20"/>
              </w:rPr>
              <w:t>Negative controls</w:t>
            </w:r>
          </w:p>
        </w:tc>
        <w:tc>
          <w:tcPr>
            <w:tcW w:type="dxa" w:w="6624"/>
          </w:tcPr>
          <w:p>
            <w:pPr>
              <w:spacing w:after="20"/>
            </w:pPr>
            <w:r>
              <w:rPr>
                <w:rFonts w:ascii="Calibri" w:hAnsi="Calibri"/>
                <w:b w:val="0"/>
                <w:i w:val="0"/>
                <w:color w:val="1A1A1A"/>
                <w:sz w:val="20"/>
              </w:rPr>
              <w:t>Unstained, Low; Unstained, Medium; Unstained, High</w:t>
            </w:r>
          </w:p>
        </w:tc>
      </w:tr>
      <w:tr>
        <w:tc>
          <w:tcPr>
            <w:tcW w:type="dxa" w:w="3168"/>
          </w:tcPr>
          <w:p>
            <w:pPr>
              <w:spacing w:after="20"/>
            </w:pPr>
            <w:r>
              <w:rPr>
                <w:rFonts w:ascii="Calibri" w:hAnsi="Calibri"/>
                <w:b/>
                <w:i w:val="0"/>
                <w:color w:val="1A1A1A"/>
                <w:sz w:val="20"/>
              </w:rPr>
              <w:t>Panel (stained channels)</w:t>
            </w:r>
          </w:p>
        </w:tc>
        <w:tc>
          <w:tcPr>
            <w:tcW w:type="dxa" w:w="6624"/>
          </w:tcPr>
          <w:p>
            <w:pPr>
              <w:spacing w:after="20"/>
            </w:pPr>
            <w:r>
              <w:rPr>
                <w:rFonts w:ascii="Calibri" w:hAnsi="Calibri"/>
                <w:b w:val="0"/>
                <w:i w:val="0"/>
                <w:color w:val="1A1A1A"/>
                <w:sz w:val="20"/>
              </w:rPr>
              <w:t>CD4 PE (FL3-A)</w:t>
            </w:r>
          </w:p>
        </w:tc>
      </w:tr>
      <w:tr>
        <w:tc>
          <w:tcPr>
            <w:tcW w:type="dxa" w:w="3168"/>
          </w:tcPr>
          <w:p>
            <w:pPr>
              <w:spacing w:after="20"/>
            </w:pPr>
            <w:r>
              <w:rPr>
                <w:rFonts w:ascii="Calibri" w:hAnsi="Calibri"/>
                <w:b/>
                <w:i w:val="0"/>
                <w:color w:val="1A1A1A"/>
                <w:sz w:val="20"/>
              </w:rPr>
              <w:t>Other detectors</w:t>
            </w:r>
          </w:p>
        </w:tc>
        <w:tc>
          <w:tcPr>
            <w:tcW w:type="dxa" w:w="6624"/>
          </w:tcPr>
          <w:p>
            <w:pPr>
              <w:spacing w:after="20"/>
            </w:pPr>
            <w:r>
              <w:rPr>
                <w:rFonts w:ascii="Calibri" w:hAnsi="Calibri"/>
                <w:b w:val="0"/>
                <w:i w:val="0"/>
                <w:color w:val="1A1A1A"/>
                <w:sz w:val="20"/>
              </w:rPr>
              <w:t>FL1-A [Brilliant Violet 421 filter]; FL2-A [FITC filter]; FL4-A [APC filter]; FL5-A [PerCP-Cy5.5 filter]; FL6-A [PE-Cy7 filter]</w:t>
            </w:r>
          </w:p>
        </w:tc>
      </w:tr>
      <w:tr>
        <w:tc>
          <w:tcPr>
            <w:tcW w:type="dxa" w:w="3168"/>
          </w:tcPr>
          <w:p>
            <w:pPr>
              <w:spacing w:after="20"/>
            </w:pPr>
            <w:r>
              <w:rPr>
                <w:rFonts w:ascii="Calibri" w:hAnsi="Calibri"/>
                <w:b/>
                <w:i w:val="0"/>
                <w:color w:val="1A1A1A"/>
                <w:sz w:val="20"/>
              </w:rPr>
              <w:t>Compensation</w:t>
            </w:r>
          </w:p>
        </w:tc>
        <w:tc>
          <w:tcPr>
            <w:tcW w:type="dxa" w:w="6624"/>
          </w:tcPr>
          <w:p>
            <w:pPr>
              <w:spacing w:after="20"/>
            </w:pPr>
            <w:r>
              <w:rPr>
                <w:rFonts w:ascii="Calibri" w:hAnsi="Calibri"/>
                <w:b w:val="0"/>
                <w:i w:val="0"/>
                <w:color w:val="1A1A1A"/>
                <w:sz w:val="20"/>
              </w:rPr>
              <w:t>Embedded spillover is an identity matrix: data are UNCOMPENSATED, none applied</w:t>
            </w:r>
          </w:p>
        </w:tc>
      </w:tr>
      <w:tr>
        <w:tc>
          <w:tcPr>
            <w:tcW w:type="dxa" w:w="3168"/>
          </w:tcPr>
          <w:p>
            <w:pPr>
              <w:spacing w:after="20"/>
            </w:pPr>
            <w:r>
              <w:rPr>
                <w:rFonts w:ascii="Calibri" w:hAnsi="Calibri"/>
                <w:b/>
                <w:i w:val="0"/>
                <w:color w:val="1A1A1A"/>
                <w:sz w:val="20"/>
              </w:rPr>
              <w:t>Event QC</w:t>
            </w:r>
          </w:p>
        </w:tc>
        <w:tc>
          <w:tcPr>
            <w:tcW w:type="dxa" w:w="6624"/>
          </w:tcPr>
          <w:p>
            <w:pPr>
              <w:spacing w:after="20"/>
            </w:pPr>
            <w:r>
              <w:rPr>
                <w:rFonts w:ascii="Calibri" w:hAnsi="Calibri"/>
                <w:b w:val="0"/>
                <w:i w:val="0"/>
                <w:color w:val="1A1A1A"/>
                <w:sz w:val="20"/>
              </w:rPr>
              <w:t>Saturated events removed: events piled up at a detector's maximum (&gt;= 5 within 0.01%) are removed as saturated. Then PeacoQC on the time channel. 0.1-1.8% of events removed per tube</w:t>
            </w:r>
          </w:p>
        </w:tc>
      </w:tr>
      <w:tr>
        <w:tc>
          <w:tcPr>
            <w:tcW w:type="dxa" w:w="3168"/>
          </w:tcPr>
          <w:p>
            <w:pPr>
              <w:spacing w:after="20"/>
            </w:pPr>
            <w:r>
              <w:rPr>
                <w:rFonts w:ascii="Calibri" w:hAnsi="Calibri"/>
                <w:b/>
                <w:i w:val="0"/>
                <w:color w:val="1A1A1A"/>
                <w:sz w:val="20"/>
              </w:rPr>
              <w:t>Debris gate</w:t>
            </w:r>
          </w:p>
        </w:tc>
        <w:tc>
          <w:tcPr>
            <w:tcW w:type="dxa" w:w="6624"/>
          </w:tcPr>
          <w:p>
            <w:pPr>
              <w:spacing w:after="20"/>
            </w:pPr>
            <w:r>
              <w:rPr>
                <w:rFonts w:ascii="Calibri" w:hAnsi="Calibri"/>
                <w:b w:val="0"/>
                <w:i w:val="0"/>
                <w:color w:val="1A1A1A"/>
                <w:sz w:val="20"/>
              </w:rPr>
              <w:t>OpenCyto mindensity on FSC-A; cells = 15.1-18.1% of events</w:t>
            </w:r>
          </w:p>
        </w:tc>
      </w:tr>
      <w:tr>
        <w:tc>
          <w:tcPr>
            <w:tcW w:type="dxa" w:w="3168"/>
          </w:tcPr>
          <w:p>
            <w:pPr>
              <w:spacing w:after="20"/>
            </w:pPr>
            <w:r>
              <w:rPr>
                <w:rFonts w:ascii="Calibri" w:hAnsi="Calibri"/>
                <w:b/>
                <w:i w:val="0"/>
                <w:color w:val="1A1A1A"/>
                <w:sz w:val="20"/>
              </w:rPr>
              <w:t>Singlet gate</w:t>
            </w:r>
          </w:p>
        </w:tc>
        <w:tc>
          <w:tcPr>
            <w:tcW w:type="dxa" w:w="6624"/>
          </w:tcPr>
          <w:p>
            <w:pPr>
              <w:spacing w:after="20"/>
            </w:pPr>
            <w:r>
              <w:rPr>
                <w:rFonts w:ascii="Calibri" w:hAnsi="Calibri"/>
                <w:b w:val="0"/>
                <w:i w:val="0"/>
                <w:color w:val="1A1A1A"/>
                <w:sz w:val="20"/>
              </w:rPr>
              <w:t>Size-aware FSC-A/FSC-H ratio band, +/- 4 robust SD of the doublet-free side; singlets = 76.9-79.9% of cells; kept events with FSC-A/FSC-H &gt; 1.5: 0.0% in every tube</w:t>
            </w:r>
          </w:p>
        </w:tc>
      </w:tr>
      <w:tr>
        <w:tc>
          <w:tcPr>
            <w:tcW w:type="dxa" w:w="3168"/>
          </w:tcPr>
          <w:p>
            <w:pPr>
              <w:spacing w:after="20"/>
            </w:pPr>
            <w:r>
              <w:rPr>
                <w:rFonts w:ascii="Calibri" w:hAnsi="Calibri"/>
                <w:b/>
                <w:i w:val="0"/>
                <w:color w:val="1A1A1A"/>
                <w:sz w:val="20"/>
              </w:rPr>
              <w:t>CD4+ gate</w:t>
            </w:r>
          </w:p>
        </w:tc>
        <w:tc>
          <w:tcPr>
            <w:tcW w:type="dxa" w:w="6624"/>
          </w:tcPr>
          <w:p>
            <w:pPr>
              <w:spacing w:after="20"/>
            </w:pPr>
            <w:r>
              <w:rPr>
                <w:rFonts w:ascii="Calibri" w:hAnsi="Calibri"/>
                <w:b w:val="0"/>
                <w:i w:val="0"/>
                <w:color w:val="1A1A1A"/>
                <w:sz w:val="20"/>
              </w:rPr>
              <w:t>CD4 PE (FL3-A) above the 99.5th percentile of the matched negative control (matched by setting)</w:t>
            </w:r>
          </w:p>
        </w:tc>
      </w:tr>
      <w:tr>
        <w:tc>
          <w:tcPr>
            <w:tcW w:type="dxa" w:w="3168"/>
          </w:tcPr>
          <w:p>
            <w:pPr>
              <w:spacing w:after="20"/>
            </w:pPr>
            <w:r>
              <w:rPr>
                <w:rFonts w:ascii="Calibri" w:hAnsi="Calibri"/>
                <w:b/>
                <w:i w:val="0"/>
                <w:color w:val="1A1A1A"/>
                <w:sz w:val="20"/>
              </w:rPr>
              <w:t>Transform</w:t>
            </w:r>
          </w:p>
        </w:tc>
        <w:tc>
          <w:tcPr>
            <w:tcW w:type="dxa" w:w="6624"/>
          </w:tcPr>
          <w:p>
            <w:pPr>
              <w:spacing w:after="20"/>
            </w:pPr>
            <w:r>
              <w:rPr>
                <w:rFonts w:ascii="Calibri" w:hAnsi="Calibri"/>
                <w:b w:val="0"/>
                <w:i w:val="0"/>
                <w:color w:val="1A1A1A"/>
                <w:sz w:val="20"/>
              </w:rPr>
              <w:t>Logicle (estimateLogicle on a pooled subsample of all files)</w:t>
            </w:r>
          </w:p>
        </w:tc>
      </w:tr>
      <w:tr>
        <w:tc>
          <w:tcPr>
            <w:tcW w:type="dxa" w:w="3168"/>
          </w:tcPr>
          <w:p>
            <w:pPr>
              <w:spacing w:after="20"/>
            </w:pPr>
            <w:r>
              <w:rPr>
                <w:rFonts w:ascii="Calibri" w:hAnsi="Calibri"/>
                <w:b/>
                <w:i w:val="0"/>
                <w:color w:val="1A1A1A"/>
                <w:sz w:val="20"/>
              </w:rPr>
              <w:t>Software</w:t>
            </w:r>
          </w:p>
        </w:tc>
        <w:tc>
          <w:tcPr>
            <w:tcW w:type="dxa" w:w="6624"/>
          </w:tcPr>
          <w:p>
            <w:pPr>
              <w:spacing w:after="20"/>
            </w:pPr>
            <w:r>
              <w:rPr>
                <w:rFonts w:ascii="Calibri" w:hAnsi="Calibri"/>
                <w:b w:val="0"/>
                <w:i w:val="0"/>
                <w:color w:val="1A1A1A"/>
                <w:sz w:val="20"/>
              </w:rPr>
              <w:t>R version 4.5.2 (2025-10-31); flowCore 2.22.1, flowWorkspace 4.22.1, openCyto 2.22.0, PeacoQC 1.20.0; sh800_flow.R (sh800-flow-analysis skill)</w:t>
            </w:r>
          </w:p>
        </w:tc>
      </w:tr>
      <w:tr>
        <w:tc>
          <w:tcPr>
            <w:tcW w:type="dxa" w:w="3168"/>
          </w:tcPr>
          <w:p>
            <w:pPr>
              <w:spacing w:after="20"/>
            </w:pPr>
            <w:r>
              <w:rPr>
                <w:rFonts w:ascii="Calibri" w:hAnsi="Calibri"/>
                <w:b/>
                <w:i w:val="0"/>
                <w:color w:val="1A1A1A"/>
                <w:sz w:val="20"/>
              </w:rPr>
              <w:t>Samples &amp; biological replicates</w:t>
            </w:r>
          </w:p>
        </w:tc>
        <w:tc>
          <w:tcPr>
            <w:tcW w:type="dxa" w:w="6624"/>
          </w:tcPr>
          <w:p>
            <w:pPr>
              <w:spacing w:after="20"/>
            </w:pPr>
            <w:r>
              <w:rPr>
                <w:rFonts w:ascii="Calibri" w:hAnsi="Calibri"/>
                <w:b w:val="0"/>
                <w:i w:val="0"/>
                <w:color w:val="1A1A1A"/>
                <w:sz w:val="20"/>
              </w:rPr>
              <w:t>BD Cytotrol lyophilized human PBMC, a single lot: n = 1 biological sample. One CD4-stained tube and one unstained tube at each of the Low, Medium and High instrument settings (6 tubes; the settings are technical conditions, not replicates). Public data: figshare 10.6084/m9.figshare.30584678 (Tang and Welsh, University of Ottawa Flow Cytometry &amp; Virometry Core; CC BY 4.0).</w:t>
            </w:r>
          </w:p>
        </w:tc>
      </w:tr>
      <w:tr>
        <w:tc>
          <w:tcPr>
            <w:tcW w:type="dxa" w:w="3168"/>
          </w:tcPr>
          <w:p>
            <w:pPr>
              <w:spacing w:after="20"/>
            </w:pPr>
            <w:r>
              <w:rPr>
                <w:rFonts w:ascii="Calibri" w:hAnsi="Calibri"/>
                <w:b/>
                <w:i w:val="0"/>
                <w:color w:val="1A1A1A"/>
                <w:sz w:val="20"/>
              </w:rPr>
              <w:t>Staining</w:t>
            </w:r>
          </w:p>
        </w:tc>
        <w:tc>
          <w:tcPr>
            <w:tcW w:type="dxa" w:w="6624"/>
          </w:tcPr>
          <w:p>
            <w:pPr>
              <w:spacing w:after="20"/>
            </w:pPr>
            <w:r>
              <w:rPr>
                <w:rFonts w:ascii="Calibri" w:hAnsi="Calibri"/>
                <w:b w:val="0"/>
                <w:i w:val="0"/>
                <w:color w:val="1A1A1A"/>
                <w:sz w:val="20"/>
              </w:rPr>
              <w:t>CD4, clone SK3, PE. Vendor, lot and dilution: not provided. Viability dye: not provided. Fc block: not provided. Stain time/temperature: not provided.</w:t>
            </w:r>
          </w:p>
        </w:tc>
      </w:tr>
      <w:tr>
        <w:tc>
          <w:tcPr>
            <w:tcW w:type="dxa" w:w="3168"/>
          </w:tcPr>
          <w:p>
            <w:pPr>
              <w:spacing w:after="20"/>
            </w:pPr>
            <w:r>
              <w:rPr>
                <w:rFonts w:ascii="Calibri" w:hAnsi="Calibri"/>
                <w:b/>
                <w:i w:val="0"/>
                <w:color w:val="1A1A1A"/>
                <w:sz w:val="20"/>
              </w:rPr>
              <w:t>Instrument setup</w:t>
            </w:r>
          </w:p>
        </w:tc>
        <w:tc>
          <w:tcPr>
            <w:tcW w:type="dxa" w:w="6624"/>
          </w:tcPr>
          <w:p>
            <w:pPr>
              <w:spacing w:after="20"/>
            </w:pPr>
            <w:r>
              <w:rPr>
                <w:rFonts w:ascii="Calibri" w:hAnsi="Calibri"/>
                <w:b w:val="0"/>
                <w:i w:val="0"/>
                <w:color w:val="1A1A1A"/>
                <w:sz w:val="20"/>
              </w:rPr>
              <w:t>Sony SH800 at the uOttawa core. Chip size, laser/filter configuration, gain/sensitivity values for the Low, Medium and High settings, and FSC threshold: not provided.</w:t>
            </w:r>
          </w:p>
        </w:tc>
      </w:tr>
      <w:tr>
        <w:tc>
          <w:tcPr>
            <w:tcW w:type="dxa" w:w="3168"/>
          </w:tcPr>
          <w:p>
            <w:pPr>
              <w:spacing w:after="20"/>
            </w:pPr>
            <w:r>
              <w:rPr>
                <w:rFonts w:ascii="Calibri" w:hAnsi="Calibri"/>
                <w:b/>
                <w:i w:val="0"/>
                <w:color w:val="1A1A1A"/>
                <w:sz w:val="20"/>
              </w:rPr>
              <w:t>Sort details</w:t>
            </w:r>
          </w:p>
        </w:tc>
        <w:tc>
          <w:tcPr>
            <w:tcW w:type="dxa" w:w="6624"/>
          </w:tcPr>
          <w:p>
            <w:pPr>
              <w:spacing w:after="20"/>
            </w:pPr>
            <w:r>
              <w:rPr>
                <w:rFonts w:ascii="Calibri" w:hAnsi="Calibri"/>
                <w:b w:val="0"/>
                <w:i w:val="0"/>
                <w:color w:val="1A1A1A"/>
                <w:sz w:val="20"/>
              </w:rPr>
              <w:t>Analysis only, no sort.</w:t>
            </w:r>
          </w:p>
        </w:tc>
      </w:tr>
    </w:tbl>
    <w:p>
      <w:pPr>
        <w:spacing w:after="40"/>
      </w:pPr>
    </w:p>
    <w:p>
      <w:pPr>
        <w:keepNext/>
        <w:spacing w:before="200" w:after="60"/>
      </w:pPr>
      <w:r>
        <w:rPr>
          <w:rFonts w:ascii="Calibri" w:hAnsi="Calibri"/>
          <w:b/>
          <w:i w:val="0"/>
          <w:color w:val="8C1515"/>
          <w:sz w:val="26"/>
        </w:rPr>
        <w:t>4. Results</w:t>
      </w:r>
    </w:p>
    <w:p>
      <w:pPr>
        <w:spacing w:after="120" w:line="276" w:lineRule="auto"/>
      </w:pPr>
      <w:r>
        <w:rPr>
          <w:rFonts w:ascii="Calibri" w:hAnsi="Calibri"/>
          <w:b w:val="0"/>
          <w:i w:val="0"/>
          <w:color w:val="1A1A1A"/>
          <w:sz w:val="21"/>
        </w:rPr>
        <w:t>Each tube had 37,276 to 44,499 events acquired, and saturation removal plus PeacoQC took out 0.1-1.8% per tube. Cells were 15.1-18.1% of events: on log FSC-A vs SSC-A the debris cut falls in the valley between the debris cloud and the cell cluster in every tube (Figure 1a; all six tubes in 02_qc_debris.png). The singlet band follows the main FSC-A/FSC-H diagonal at all three settings and kept 76.9-79.9% of cells (5,293 to 5,419 singlets per tube); no kept event had FSC-A/FSC-H above 1.5 (Figure 2).</w:t>
      </w:r>
    </w:p>
    <w:tbl>
      <w:tblPr>
        <w:tblW w:type="auto" w:w="0"/>
        <w:tblLook w:firstColumn="1" w:firstRow="1" w:lastColumn="0" w:lastRow="0" w:noHBand="0" w:noVBand="1" w:val="04A0"/>
        <w:tblBorders>
          <w:top w:val="single" w:sz="4" w:color="8C1515"/>
          <w:bottom w:val="single" w:sz="4" w:color="8C1515"/>
          <w:insideH w:val="single" w:sz="4" w:color="8C1515"/>
          <w:left w:val="none"/>
          <w:right w:val="none"/>
          <w:insideV w:val="none"/>
        </w:tblBorders>
        <w:tblCellMar>
          <w:top w:w="60" w:type="dxa"/>
          <w:bottom w:w="60" w:type="dxa"/>
          <w:start w:w="100" w:type="dxa"/>
          <w:end w:w="100" w:type="dxa"/>
        </w:tblCellMar>
      </w:tblPr>
      <w:tblGrid>
        <w:gridCol w:w="1378"/>
        <w:gridCol w:w="1378"/>
        <w:gridCol w:w="1378"/>
        <w:gridCol w:w="1378"/>
        <w:gridCol w:w="1378"/>
        <w:gridCol w:w="1378"/>
        <w:gridCol w:w="1378"/>
      </w:tblGrid>
      <w:tr>
        <w:tc>
          <w:tcPr>
            <w:tcW w:type="dxa" w:w="1378"/>
            <w:shd w:val="clear" w:fill="F3EEEE"/>
          </w:tcPr>
          <w:p>
            <w:pPr>
              <w:spacing w:after="20"/>
            </w:pPr>
            <w:r>
              <w:rPr>
                <w:rFonts w:ascii="Calibri" w:hAnsi="Calibri"/>
                <w:b/>
                <w:i w:val="0"/>
                <w:color w:val="8C1515"/>
                <w:sz w:val="19"/>
              </w:rPr>
              <w:t>Sample</w:t>
            </w:r>
          </w:p>
        </w:tc>
        <w:tc>
          <w:tcPr>
            <w:tcW w:type="dxa" w:w="1378"/>
            <w:shd w:val="clear" w:fill="F3EEEE"/>
          </w:tcPr>
          <w:p>
            <w:pPr>
              <w:spacing w:after="20"/>
            </w:pPr>
            <w:r>
              <w:rPr>
                <w:rFonts w:ascii="Calibri" w:hAnsi="Calibri"/>
                <w:b/>
                <w:i w:val="0"/>
                <w:color w:val="8C1515"/>
                <w:sz w:val="19"/>
              </w:rPr>
              <w:t>Events</w:t>
            </w:r>
          </w:p>
        </w:tc>
        <w:tc>
          <w:tcPr>
            <w:tcW w:type="dxa" w:w="1378"/>
            <w:shd w:val="clear" w:fill="F3EEEE"/>
          </w:tcPr>
          <w:p>
            <w:pPr>
              <w:spacing w:after="20"/>
            </w:pPr>
            <w:r>
              <w:rPr>
                <w:rFonts w:ascii="Calibri" w:hAnsi="Calibri"/>
                <w:b/>
                <w:i w:val="0"/>
                <w:color w:val="8C1515"/>
                <w:sz w:val="19"/>
              </w:rPr>
              <w:t>QC removed (%)</w:t>
            </w:r>
          </w:p>
        </w:tc>
        <w:tc>
          <w:tcPr>
            <w:tcW w:type="dxa" w:w="1378"/>
            <w:shd w:val="clear" w:fill="F3EEEE"/>
          </w:tcPr>
          <w:p>
            <w:pPr>
              <w:spacing w:after="20"/>
            </w:pPr>
            <w:r>
              <w:rPr>
                <w:rFonts w:ascii="Calibri" w:hAnsi="Calibri"/>
                <w:b/>
                <w:i w:val="0"/>
                <w:color w:val="8C1515"/>
                <w:sz w:val="19"/>
              </w:rPr>
              <w:t>Cells (% events)</w:t>
            </w:r>
          </w:p>
        </w:tc>
        <w:tc>
          <w:tcPr>
            <w:tcW w:type="dxa" w:w="1378"/>
            <w:shd w:val="clear" w:fill="F3EEEE"/>
          </w:tcPr>
          <w:p>
            <w:pPr>
              <w:spacing w:after="20"/>
            </w:pPr>
            <w:r>
              <w:rPr>
                <w:rFonts w:ascii="Calibri" w:hAnsi="Calibri"/>
                <w:b/>
                <w:i w:val="0"/>
                <w:color w:val="8C1515"/>
                <w:sz w:val="19"/>
              </w:rPr>
              <w:t>Singlets (% cells)</w:t>
            </w:r>
          </w:p>
        </w:tc>
        <w:tc>
          <w:tcPr>
            <w:tcW w:type="dxa" w:w="1378"/>
            <w:shd w:val="clear" w:fill="F3EEEE"/>
          </w:tcPr>
          <w:p>
            <w:pPr>
              <w:spacing w:after="20"/>
            </w:pPr>
            <w:r>
              <w:rPr>
                <w:rFonts w:ascii="Calibri" w:hAnsi="Calibri"/>
                <w:b/>
                <w:i w:val="0"/>
                <w:color w:val="8C1515"/>
                <w:sz w:val="19"/>
              </w:rPr>
              <w:t>Singlets (n)</w:t>
            </w:r>
          </w:p>
        </w:tc>
        <w:tc>
          <w:tcPr>
            <w:tcW w:type="dxa" w:w="1378"/>
            <w:shd w:val="clear" w:fill="F3EEEE"/>
          </w:tcPr>
          <w:p>
            <w:pPr>
              <w:spacing w:after="20"/>
            </w:pPr>
            <w:r>
              <w:rPr>
                <w:rFonts w:ascii="Calibri" w:hAnsi="Calibri"/>
                <w:b/>
                <w:i w:val="0"/>
                <w:color w:val="8C1515"/>
                <w:sz w:val="19"/>
              </w:rPr>
              <w:t>CD4+ (% singlets)</w:t>
            </w:r>
          </w:p>
        </w:tc>
      </w:tr>
      <w:tr>
        <w:tc>
          <w:tcPr>
            <w:tcW w:type="dxa" w:w="1378"/>
          </w:tcPr>
          <w:p>
            <w:pPr>
              <w:spacing w:after="20"/>
            </w:pPr>
            <w:r>
              <w:rPr>
                <w:rFonts w:ascii="Calibri" w:hAnsi="Calibri"/>
                <w:b w:val="0"/>
                <w:i w:val="0"/>
                <w:color w:val="1A1A1A"/>
                <w:sz w:val="19"/>
              </w:rPr>
              <w:t>CD4-PE, Low</w:t>
            </w:r>
          </w:p>
        </w:tc>
        <w:tc>
          <w:tcPr>
            <w:tcW w:type="dxa" w:w="1378"/>
          </w:tcPr>
          <w:p>
            <w:pPr>
              <w:spacing w:after="20"/>
            </w:pPr>
            <w:r>
              <w:rPr>
                <w:rFonts w:ascii="Calibri" w:hAnsi="Calibri"/>
                <w:b w:val="0"/>
                <w:i w:val="0"/>
                <w:color w:val="1A1A1A"/>
                <w:sz w:val="19"/>
              </w:rPr>
              <w:t>42,507</w:t>
            </w:r>
          </w:p>
        </w:tc>
        <w:tc>
          <w:tcPr>
            <w:tcW w:type="dxa" w:w="1378"/>
          </w:tcPr>
          <w:p>
            <w:pPr>
              <w:spacing w:after="20"/>
            </w:pPr>
            <w:r>
              <w:rPr>
                <w:rFonts w:ascii="Calibri" w:hAnsi="Calibri"/>
                <w:b w:val="0"/>
                <w:i w:val="0"/>
                <w:color w:val="1A1A1A"/>
                <w:sz w:val="19"/>
              </w:rPr>
              <w:t>1.2</w:t>
            </w:r>
          </w:p>
        </w:tc>
        <w:tc>
          <w:tcPr>
            <w:tcW w:type="dxa" w:w="1378"/>
          </w:tcPr>
          <w:p>
            <w:pPr>
              <w:spacing w:after="20"/>
            </w:pPr>
            <w:r>
              <w:rPr>
                <w:rFonts w:ascii="Calibri" w:hAnsi="Calibri"/>
                <w:b w:val="0"/>
                <w:i w:val="0"/>
                <w:color w:val="1A1A1A"/>
                <w:sz w:val="19"/>
              </w:rPr>
              <w:t>15.9</w:t>
            </w:r>
          </w:p>
        </w:tc>
        <w:tc>
          <w:tcPr>
            <w:tcW w:type="dxa" w:w="1378"/>
          </w:tcPr>
          <w:p>
            <w:pPr>
              <w:spacing w:after="20"/>
            </w:pPr>
            <w:r>
              <w:rPr>
                <w:rFonts w:ascii="Calibri" w:hAnsi="Calibri"/>
                <w:b w:val="0"/>
                <w:i w:val="0"/>
                <w:color w:val="1A1A1A"/>
                <w:sz w:val="19"/>
              </w:rPr>
              <w:t>79.5</w:t>
            </w:r>
          </w:p>
        </w:tc>
        <w:tc>
          <w:tcPr>
            <w:tcW w:type="dxa" w:w="1378"/>
          </w:tcPr>
          <w:p>
            <w:pPr>
              <w:spacing w:after="20"/>
            </w:pPr>
            <w:r>
              <w:rPr>
                <w:rFonts w:ascii="Calibri" w:hAnsi="Calibri"/>
                <w:b w:val="0"/>
                <w:i w:val="0"/>
                <w:color w:val="1A1A1A"/>
                <w:sz w:val="19"/>
              </w:rPr>
              <w:t>5,319</w:t>
            </w:r>
          </w:p>
        </w:tc>
        <w:tc>
          <w:tcPr>
            <w:tcW w:type="dxa" w:w="1378"/>
          </w:tcPr>
          <w:p>
            <w:pPr>
              <w:spacing w:after="20"/>
            </w:pPr>
            <w:r>
              <w:rPr>
                <w:rFonts w:ascii="Calibri" w:hAnsi="Calibri"/>
                <w:b w:val="0"/>
                <w:i w:val="0"/>
                <w:color w:val="1A1A1A"/>
                <w:sz w:val="19"/>
              </w:rPr>
              <w:t>57.2</w:t>
            </w:r>
          </w:p>
        </w:tc>
      </w:tr>
      <w:tr>
        <w:tc>
          <w:tcPr>
            <w:tcW w:type="dxa" w:w="1378"/>
          </w:tcPr>
          <w:p>
            <w:pPr>
              <w:spacing w:after="20"/>
            </w:pPr>
            <w:r>
              <w:rPr>
                <w:rFonts w:ascii="Calibri" w:hAnsi="Calibri"/>
                <w:b w:val="0"/>
                <w:i w:val="0"/>
                <w:color w:val="1A1A1A"/>
                <w:sz w:val="19"/>
              </w:rPr>
              <w:t>CD4-PE, Medium</w:t>
            </w:r>
          </w:p>
        </w:tc>
        <w:tc>
          <w:tcPr>
            <w:tcW w:type="dxa" w:w="1378"/>
          </w:tcPr>
          <w:p>
            <w:pPr>
              <w:spacing w:after="20"/>
            </w:pPr>
            <w:r>
              <w:rPr>
                <w:rFonts w:ascii="Calibri" w:hAnsi="Calibri"/>
                <w:b w:val="0"/>
                <w:i w:val="0"/>
                <w:color w:val="1A1A1A"/>
                <w:sz w:val="19"/>
              </w:rPr>
              <w:t>44,499</w:t>
            </w:r>
          </w:p>
        </w:tc>
        <w:tc>
          <w:tcPr>
            <w:tcW w:type="dxa" w:w="1378"/>
          </w:tcPr>
          <w:p>
            <w:pPr>
              <w:spacing w:after="20"/>
            </w:pPr>
            <w:r>
              <w:rPr>
                <w:rFonts w:ascii="Calibri" w:hAnsi="Calibri"/>
                <w:b w:val="0"/>
                <w:i w:val="0"/>
                <w:color w:val="1A1A1A"/>
                <w:sz w:val="19"/>
              </w:rPr>
              <w:t>0.1</w:t>
            </w:r>
          </w:p>
        </w:tc>
        <w:tc>
          <w:tcPr>
            <w:tcW w:type="dxa" w:w="1378"/>
          </w:tcPr>
          <w:p>
            <w:pPr>
              <w:spacing w:after="20"/>
            </w:pPr>
            <w:r>
              <w:rPr>
                <w:rFonts w:ascii="Calibri" w:hAnsi="Calibri"/>
                <w:b w:val="0"/>
                <w:i w:val="0"/>
                <w:color w:val="1A1A1A"/>
                <w:sz w:val="19"/>
              </w:rPr>
              <w:t>15.1</w:t>
            </w:r>
          </w:p>
        </w:tc>
        <w:tc>
          <w:tcPr>
            <w:tcW w:type="dxa" w:w="1378"/>
          </w:tcPr>
          <w:p>
            <w:pPr>
              <w:spacing w:after="20"/>
            </w:pPr>
            <w:r>
              <w:rPr>
                <w:rFonts w:ascii="Calibri" w:hAnsi="Calibri"/>
                <w:b w:val="0"/>
                <w:i w:val="0"/>
                <w:color w:val="1A1A1A"/>
                <w:sz w:val="19"/>
              </w:rPr>
              <w:t>79.0</w:t>
            </w:r>
          </w:p>
        </w:tc>
        <w:tc>
          <w:tcPr>
            <w:tcW w:type="dxa" w:w="1378"/>
          </w:tcPr>
          <w:p>
            <w:pPr>
              <w:spacing w:after="20"/>
            </w:pPr>
            <w:r>
              <w:rPr>
                <w:rFonts w:ascii="Calibri" w:hAnsi="Calibri"/>
                <w:b w:val="0"/>
                <w:i w:val="0"/>
                <w:color w:val="1A1A1A"/>
                <w:sz w:val="19"/>
              </w:rPr>
              <w:t>5,293</w:t>
            </w:r>
          </w:p>
        </w:tc>
        <w:tc>
          <w:tcPr>
            <w:tcW w:type="dxa" w:w="1378"/>
          </w:tcPr>
          <w:p>
            <w:pPr>
              <w:spacing w:after="20"/>
            </w:pPr>
            <w:r>
              <w:rPr>
                <w:rFonts w:ascii="Calibri" w:hAnsi="Calibri"/>
                <w:b w:val="0"/>
                <w:i w:val="0"/>
                <w:color w:val="1A1A1A"/>
                <w:sz w:val="19"/>
              </w:rPr>
              <w:t>58.0</w:t>
            </w:r>
          </w:p>
        </w:tc>
      </w:tr>
      <w:tr>
        <w:tc>
          <w:tcPr>
            <w:tcW w:type="dxa" w:w="1378"/>
          </w:tcPr>
          <w:p>
            <w:pPr>
              <w:spacing w:after="20"/>
            </w:pPr>
            <w:r>
              <w:rPr>
                <w:rFonts w:ascii="Calibri" w:hAnsi="Calibri"/>
                <w:b w:val="0"/>
                <w:i w:val="0"/>
                <w:color w:val="1A1A1A"/>
                <w:sz w:val="19"/>
              </w:rPr>
              <w:t>CD4-PE, High</w:t>
            </w:r>
          </w:p>
        </w:tc>
        <w:tc>
          <w:tcPr>
            <w:tcW w:type="dxa" w:w="1378"/>
          </w:tcPr>
          <w:p>
            <w:pPr>
              <w:spacing w:after="20"/>
            </w:pPr>
            <w:r>
              <w:rPr>
                <w:rFonts w:ascii="Calibri" w:hAnsi="Calibri"/>
                <w:b w:val="0"/>
                <w:i w:val="0"/>
                <w:color w:val="1A1A1A"/>
                <w:sz w:val="19"/>
              </w:rPr>
              <w:t>40,128</w:t>
            </w:r>
          </w:p>
        </w:tc>
        <w:tc>
          <w:tcPr>
            <w:tcW w:type="dxa" w:w="1378"/>
          </w:tcPr>
          <w:p>
            <w:pPr>
              <w:spacing w:after="20"/>
            </w:pPr>
            <w:r>
              <w:rPr>
                <w:rFonts w:ascii="Calibri" w:hAnsi="Calibri"/>
                <w:b w:val="0"/>
                <w:i w:val="0"/>
                <w:color w:val="1A1A1A"/>
                <w:sz w:val="19"/>
              </w:rPr>
              <w:t>0.1</w:t>
            </w:r>
          </w:p>
        </w:tc>
        <w:tc>
          <w:tcPr>
            <w:tcW w:type="dxa" w:w="1378"/>
          </w:tcPr>
          <w:p>
            <w:pPr>
              <w:spacing w:after="20"/>
            </w:pPr>
            <w:r>
              <w:rPr>
                <w:rFonts w:ascii="Calibri" w:hAnsi="Calibri"/>
                <w:b w:val="0"/>
                <w:i w:val="0"/>
                <w:color w:val="1A1A1A"/>
                <w:sz w:val="19"/>
              </w:rPr>
              <w:t>16.7</w:t>
            </w:r>
          </w:p>
        </w:tc>
        <w:tc>
          <w:tcPr>
            <w:tcW w:type="dxa" w:w="1378"/>
          </w:tcPr>
          <w:p>
            <w:pPr>
              <w:spacing w:after="20"/>
            </w:pPr>
            <w:r>
              <w:rPr>
                <w:rFonts w:ascii="Calibri" w:hAnsi="Calibri"/>
                <w:b w:val="0"/>
                <w:i w:val="0"/>
                <w:color w:val="1A1A1A"/>
                <w:sz w:val="19"/>
              </w:rPr>
              <w:t>79.9</w:t>
            </w:r>
          </w:p>
        </w:tc>
        <w:tc>
          <w:tcPr>
            <w:tcW w:type="dxa" w:w="1378"/>
          </w:tcPr>
          <w:p>
            <w:pPr>
              <w:spacing w:after="20"/>
            </w:pPr>
            <w:r>
              <w:rPr>
                <w:rFonts w:ascii="Calibri" w:hAnsi="Calibri"/>
                <w:b w:val="0"/>
                <w:i w:val="0"/>
                <w:color w:val="1A1A1A"/>
                <w:sz w:val="19"/>
              </w:rPr>
              <w:t>5,338</w:t>
            </w:r>
          </w:p>
        </w:tc>
        <w:tc>
          <w:tcPr>
            <w:tcW w:type="dxa" w:w="1378"/>
          </w:tcPr>
          <w:p>
            <w:pPr>
              <w:spacing w:after="20"/>
            </w:pPr>
            <w:r>
              <w:rPr>
                <w:rFonts w:ascii="Calibri" w:hAnsi="Calibri"/>
                <w:b w:val="0"/>
                <w:i w:val="0"/>
                <w:color w:val="1A1A1A"/>
                <w:sz w:val="19"/>
              </w:rPr>
              <w:t>59.7</w:t>
            </w:r>
          </w:p>
        </w:tc>
      </w:tr>
      <w:tr>
        <w:tc>
          <w:tcPr>
            <w:tcW w:type="dxa" w:w="1378"/>
          </w:tcPr>
          <w:p>
            <w:pPr>
              <w:spacing w:after="20"/>
            </w:pPr>
            <w:r>
              <w:rPr>
                <w:rFonts w:ascii="Calibri" w:hAnsi="Calibri"/>
                <w:b w:val="0"/>
                <w:i w:val="0"/>
                <w:color w:val="1A1A1A"/>
                <w:sz w:val="19"/>
              </w:rPr>
              <w:t>Unstained, Low †</w:t>
            </w:r>
          </w:p>
        </w:tc>
        <w:tc>
          <w:tcPr>
            <w:tcW w:type="dxa" w:w="1378"/>
          </w:tcPr>
          <w:p>
            <w:pPr>
              <w:spacing w:after="20"/>
            </w:pPr>
            <w:r>
              <w:rPr>
                <w:rFonts w:ascii="Calibri" w:hAnsi="Calibri"/>
                <w:b w:val="0"/>
                <w:i w:val="0"/>
                <w:color w:val="1A1A1A"/>
                <w:sz w:val="19"/>
              </w:rPr>
              <w:t>37,276</w:t>
            </w:r>
          </w:p>
        </w:tc>
        <w:tc>
          <w:tcPr>
            <w:tcW w:type="dxa" w:w="1378"/>
          </w:tcPr>
          <w:p>
            <w:pPr>
              <w:spacing w:after="20"/>
            </w:pPr>
            <w:r>
              <w:rPr>
                <w:rFonts w:ascii="Calibri" w:hAnsi="Calibri"/>
                <w:b w:val="0"/>
                <w:i w:val="0"/>
                <w:color w:val="1A1A1A"/>
                <w:sz w:val="19"/>
              </w:rPr>
              <w:t>0.1</w:t>
            </w:r>
          </w:p>
        </w:tc>
        <w:tc>
          <w:tcPr>
            <w:tcW w:type="dxa" w:w="1378"/>
          </w:tcPr>
          <w:p>
            <w:pPr>
              <w:spacing w:after="20"/>
            </w:pPr>
            <w:r>
              <w:rPr>
                <w:rFonts w:ascii="Calibri" w:hAnsi="Calibri"/>
                <w:b w:val="0"/>
                <w:i w:val="0"/>
                <w:color w:val="1A1A1A"/>
                <w:sz w:val="19"/>
              </w:rPr>
              <w:t>18.1</w:t>
            </w:r>
          </w:p>
        </w:tc>
        <w:tc>
          <w:tcPr>
            <w:tcW w:type="dxa" w:w="1378"/>
          </w:tcPr>
          <w:p>
            <w:pPr>
              <w:spacing w:after="20"/>
            </w:pPr>
            <w:r>
              <w:rPr>
                <w:rFonts w:ascii="Calibri" w:hAnsi="Calibri"/>
                <w:b w:val="0"/>
                <w:i w:val="0"/>
                <w:color w:val="1A1A1A"/>
                <w:sz w:val="19"/>
              </w:rPr>
              <w:t>79.7</w:t>
            </w:r>
          </w:p>
        </w:tc>
        <w:tc>
          <w:tcPr>
            <w:tcW w:type="dxa" w:w="1378"/>
          </w:tcPr>
          <w:p>
            <w:pPr>
              <w:spacing w:after="20"/>
            </w:pPr>
            <w:r>
              <w:rPr>
                <w:rFonts w:ascii="Calibri" w:hAnsi="Calibri"/>
                <w:b w:val="0"/>
                <w:i w:val="0"/>
                <w:color w:val="1A1A1A"/>
                <w:sz w:val="19"/>
              </w:rPr>
              <w:t>5,377</w:t>
            </w:r>
          </w:p>
        </w:tc>
        <w:tc>
          <w:tcPr>
            <w:tcW w:type="dxa" w:w="1378"/>
          </w:tcPr>
          <w:p>
            <w:pPr>
              <w:spacing w:after="20"/>
            </w:pPr>
            <w:r>
              <w:rPr>
                <w:rFonts w:ascii="Calibri" w:hAnsi="Calibri"/>
                <w:b w:val="0"/>
                <w:i w:val="0"/>
                <w:color w:val="1A1A1A"/>
                <w:sz w:val="19"/>
              </w:rPr>
              <w:t>0.5</w:t>
            </w:r>
          </w:p>
        </w:tc>
      </w:tr>
      <w:tr>
        <w:tc>
          <w:tcPr>
            <w:tcW w:type="dxa" w:w="1378"/>
          </w:tcPr>
          <w:p>
            <w:pPr>
              <w:spacing w:after="20"/>
            </w:pPr>
            <w:r>
              <w:rPr>
                <w:rFonts w:ascii="Calibri" w:hAnsi="Calibri"/>
                <w:b w:val="0"/>
                <w:i w:val="0"/>
                <w:color w:val="1A1A1A"/>
                <w:sz w:val="19"/>
              </w:rPr>
              <w:t>Unstained, Medium †</w:t>
            </w:r>
          </w:p>
        </w:tc>
        <w:tc>
          <w:tcPr>
            <w:tcW w:type="dxa" w:w="1378"/>
          </w:tcPr>
          <w:p>
            <w:pPr>
              <w:spacing w:after="20"/>
            </w:pPr>
            <w:r>
              <w:rPr>
                <w:rFonts w:ascii="Calibri" w:hAnsi="Calibri"/>
                <w:b w:val="0"/>
                <w:i w:val="0"/>
                <w:color w:val="1A1A1A"/>
                <w:sz w:val="19"/>
              </w:rPr>
              <w:t>43,008</w:t>
            </w:r>
          </w:p>
        </w:tc>
        <w:tc>
          <w:tcPr>
            <w:tcW w:type="dxa" w:w="1378"/>
          </w:tcPr>
          <w:p>
            <w:pPr>
              <w:spacing w:after="20"/>
            </w:pPr>
            <w:r>
              <w:rPr>
                <w:rFonts w:ascii="Calibri" w:hAnsi="Calibri"/>
                <w:b w:val="0"/>
                <w:i w:val="0"/>
                <w:color w:val="1A1A1A"/>
                <w:sz w:val="19"/>
              </w:rPr>
              <w:t>1.8</w:t>
            </w:r>
          </w:p>
        </w:tc>
        <w:tc>
          <w:tcPr>
            <w:tcW w:type="dxa" w:w="1378"/>
          </w:tcPr>
          <w:p>
            <w:pPr>
              <w:spacing w:after="20"/>
            </w:pPr>
            <w:r>
              <w:rPr>
                <w:rFonts w:ascii="Calibri" w:hAnsi="Calibri"/>
                <w:b w:val="0"/>
                <w:i w:val="0"/>
                <w:color w:val="1A1A1A"/>
                <w:sz w:val="19"/>
              </w:rPr>
              <w:t>16.5</w:t>
            </w:r>
          </w:p>
        </w:tc>
        <w:tc>
          <w:tcPr>
            <w:tcW w:type="dxa" w:w="1378"/>
          </w:tcPr>
          <w:p>
            <w:pPr>
              <w:spacing w:after="20"/>
            </w:pPr>
            <w:r>
              <w:rPr>
                <w:rFonts w:ascii="Calibri" w:hAnsi="Calibri"/>
                <w:b w:val="0"/>
                <w:i w:val="0"/>
                <w:color w:val="1A1A1A"/>
                <w:sz w:val="19"/>
              </w:rPr>
              <w:t>76.9</w:t>
            </w:r>
          </w:p>
        </w:tc>
        <w:tc>
          <w:tcPr>
            <w:tcW w:type="dxa" w:w="1378"/>
          </w:tcPr>
          <w:p>
            <w:pPr>
              <w:spacing w:after="20"/>
            </w:pPr>
            <w:r>
              <w:rPr>
                <w:rFonts w:ascii="Calibri" w:hAnsi="Calibri"/>
                <w:b w:val="0"/>
                <w:i w:val="0"/>
                <w:color w:val="1A1A1A"/>
                <w:sz w:val="19"/>
              </w:rPr>
              <w:t>5,354</w:t>
            </w:r>
          </w:p>
        </w:tc>
        <w:tc>
          <w:tcPr>
            <w:tcW w:type="dxa" w:w="1378"/>
          </w:tcPr>
          <w:p>
            <w:pPr>
              <w:spacing w:after="20"/>
            </w:pPr>
            <w:r>
              <w:rPr>
                <w:rFonts w:ascii="Calibri" w:hAnsi="Calibri"/>
                <w:b w:val="0"/>
                <w:i w:val="0"/>
                <w:color w:val="1A1A1A"/>
                <w:sz w:val="19"/>
              </w:rPr>
              <w:t>0.5</w:t>
            </w:r>
          </w:p>
        </w:tc>
      </w:tr>
      <w:tr>
        <w:tc>
          <w:tcPr>
            <w:tcW w:type="dxa" w:w="1378"/>
          </w:tcPr>
          <w:p>
            <w:pPr>
              <w:spacing w:after="20"/>
            </w:pPr>
            <w:r>
              <w:rPr>
                <w:rFonts w:ascii="Calibri" w:hAnsi="Calibri"/>
                <w:b w:val="0"/>
                <w:i w:val="0"/>
                <w:color w:val="1A1A1A"/>
                <w:sz w:val="19"/>
              </w:rPr>
              <w:t>Unstained, High †</w:t>
            </w:r>
          </w:p>
        </w:tc>
        <w:tc>
          <w:tcPr>
            <w:tcW w:type="dxa" w:w="1378"/>
          </w:tcPr>
          <w:p>
            <w:pPr>
              <w:spacing w:after="20"/>
            </w:pPr>
            <w:r>
              <w:rPr>
                <w:rFonts w:ascii="Calibri" w:hAnsi="Calibri"/>
                <w:b w:val="0"/>
                <w:i w:val="0"/>
                <w:color w:val="1A1A1A"/>
                <w:sz w:val="19"/>
              </w:rPr>
              <w:t>38,151</w:t>
            </w:r>
          </w:p>
        </w:tc>
        <w:tc>
          <w:tcPr>
            <w:tcW w:type="dxa" w:w="1378"/>
          </w:tcPr>
          <w:p>
            <w:pPr>
              <w:spacing w:after="20"/>
            </w:pPr>
            <w:r>
              <w:rPr>
                <w:rFonts w:ascii="Calibri" w:hAnsi="Calibri"/>
                <w:b w:val="0"/>
                <w:i w:val="0"/>
                <w:color w:val="1A1A1A"/>
                <w:sz w:val="19"/>
              </w:rPr>
              <w:t>0.4</w:t>
            </w:r>
          </w:p>
        </w:tc>
        <w:tc>
          <w:tcPr>
            <w:tcW w:type="dxa" w:w="1378"/>
          </w:tcPr>
          <w:p>
            <w:pPr>
              <w:spacing w:after="20"/>
            </w:pPr>
            <w:r>
              <w:rPr>
                <w:rFonts w:ascii="Calibri" w:hAnsi="Calibri"/>
                <w:b w:val="0"/>
                <w:i w:val="0"/>
                <w:color w:val="1A1A1A"/>
                <w:sz w:val="19"/>
              </w:rPr>
              <w:t>18.0</w:t>
            </w:r>
          </w:p>
        </w:tc>
        <w:tc>
          <w:tcPr>
            <w:tcW w:type="dxa" w:w="1378"/>
          </w:tcPr>
          <w:p>
            <w:pPr>
              <w:spacing w:after="20"/>
            </w:pPr>
            <w:r>
              <w:rPr>
                <w:rFonts w:ascii="Calibri" w:hAnsi="Calibri"/>
                <w:b w:val="0"/>
                <w:i w:val="0"/>
                <w:color w:val="1A1A1A"/>
                <w:sz w:val="19"/>
              </w:rPr>
              <w:t>79.3</w:t>
            </w:r>
          </w:p>
        </w:tc>
        <w:tc>
          <w:tcPr>
            <w:tcW w:type="dxa" w:w="1378"/>
          </w:tcPr>
          <w:p>
            <w:pPr>
              <w:spacing w:after="20"/>
            </w:pPr>
            <w:r>
              <w:rPr>
                <w:rFonts w:ascii="Calibri" w:hAnsi="Calibri"/>
                <w:b w:val="0"/>
                <w:i w:val="0"/>
                <w:color w:val="1A1A1A"/>
                <w:sz w:val="19"/>
              </w:rPr>
              <w:t>5,419</w:t>
            </w:r>
          </w:p>
        </w:tc>
        <w:tc>
          <w:tcPr>
            <w:tcW w:type="dxa" w:w="1378"/>
          </w:tcPr>
          <w:p>
            <w:pPr>
              <w:spacing w:after="20"/>
            </w:pPr>
            <w:r>
              <w:rPr>
                <w:rFonts w:ascii="Calibri" w:hAnsi="Calibri"/>
                <w:b w:val="0"/>
                <w:i w:val="0"/>
                <w:color w:val="1A1A1A"/>
                <w:sz w:val="19"/>
              </w:rPr>
              <w:t>0.5</w:t>
            </w:r>
          </w:p>
        </w:tc>
      </w:tr>
    </w:tbl>
    <w:p>
      <w:pPr>
        <w:spacing w:after="40"/>
      </w:pPr>
    </w:p>
    <w:p>
      <w:pPr>
        <w:spacing w:after="120" w:line="276" w:lineRule="auto"/>
      </w:pPr>
      <w:r>
        <w:rPr>
          <w:rFonts w:ascii="Calibri" w:hAnsi="Calibri"/>
          <w:b w:val="0"/>
          <w:i w:val="0"/>
          <w:color w:val="1A1A1A"/>
          <w:sz w:val="21"/>
        </w:rPr>
        <w:t>† Negative control.</w:t>
      </w:r>
    </w:p>
    <w:p>
      <w:pPr>
        <w:spacing w:before="80" w:after="40"/>
        <w:jc w:val="center"/>
      </w:pPr>
      <w:r>
        <w:drawing>
          <wp:inline xmlns:a="http://schemas.openxmlformats.org/drawingml/2006/main" xmlns:pic="http://schemas.openxmlformats.org/drawingml/2006/picture">
            <wp:extent cx="5120640" cy="2047265"/>
            <wp:docPr id="1" name="Picture 1"/>
            <wp:cNvGraphicFramePr>
              <a:graphicFrameLocks noChangeAspect="1"/>
            </wp:cNvGraphicFramePr>
            <a:graphic>
              <a:graphicData uri="http://schemas.openxmlformats.org/drawingml/2006/picture">
                <pic:pic>
                  <pic:nvPicPr>
                    <pic:cNvPr id="0" name="01_gating_strategy.png"/>
                    <pic:cNvPicPr/>
                  </pic:nvPicPr>
                  <pic:blipFill>
                    <a:blip r:embed="rId9"/>
                    <a:stretch>
                      <a:fillRect/>
                    </a:stretch>
                  </pic:blipFill>
                  <pic:spPr>
                    <a:xfrm>
                      <a:off x="0" y="0"/>
                      <a:ext cx="5120640" cy="2047265"/>
                    </a:xfrm>
                    <a:prstGeom prst="rect"/>
                  </pic:spPr>
                </pic:pic>
              </a:graphicData>
            </a:graphic>
          </wp:inline>
        </w:drawing>
      </w:r>
    </w:p>
    <w:p>
      <w:pPr>
        <w:spacing w:after="160"/>
        <w:jc w:val="center"/>
      </w:pPr>
      <w:r>
        <w:rPr>
          <w:rFonts w:ascii="Calibri" w:hAnsi="Calibri"/>
          <w:b w:val="0"/>
          <w:i/>
          <w:color w:val="5A5A5A"/>
          <w:sz w:val="18"/>
        </w:rPr>
        <w:t>Figure 1. Gating strategy for CD4-PE, Medium: debris (mindensity on FSC-A), singlets (size-aware FSC-A/FSC-H band), CD4+ (99.5th percentile of the matched negative control).</w:t>
      </w:r>
    </w:p>
    <w:p>
      <w:pPr>
        <w:spacing w:before="80" w:after="40"/>
        <w:jc w:val="center"/>
      </w:pPr>
      <w:r>
        <w:drawing>
          <wp:inline xmlns:a="http://schemas.openxmlformats.org/drawingml/2006/main" xmlns:pic="http://schemas.openxmlformats.org/drawingml/2006/picture">
            <wp:extent cx="5120640" cy="3434170"/>
            <wp:docPr id="2" name="Picture 2"/>
            <wp:cNvGraphicFramePr>
              <a:graphicFrameLocks noChangeAspect="1"/>
            </wp:cNvGraphicFramePr>
            <a:graphic>
              <a:graphicData uri="http://schemas.openxmlformats.org/drawingml/2006/picture">
                <pic:pic>
                  <pic:nvPicPr>
                    <pic:cNvPr id="0" name="03_qc_singlets.png"/>
                    <pic:cNvPicPr/>
                  </pic:nvPicPr>
                  <pic:blipFill>
                    <a:blip r:embed="rId10"/>
                    <a:stretch>
                      <a:fillRect/>
                    </a:stretch>
                  </pic:blipFill>
                  <pic:spPr>
                    <a:xfrm>
                      <a:off x="0" y="0"/>
                      <a:ext cx="5120640" cy="3434170"/>
                    </a:xfrm>
                    <a:prstGeom prst="rect"/>
                  </pic:spPr>
                </pic:pic>
              </a:graphicData>
            </a:graphic>
          </wp:inline>
        </w:drawing>
      </w:r>
    </w:p>
    <w:p>
      <w:pPr>
        <w:spacing w:after="160"/>
        <w:jc w:val="center"/>
      </w:pPr>
      <w:r>
        <w:rPr>
          <w:rFonts w:ascii="Calibri" w:hAnsi="Calibri"/>
          <w:b w:val="0"/>
          <w:i/>
          <w:color w:val="5A5A5A"/>
          <w:sz w:val="18"/>
        </w:rPr>
        <w:t>Figure 2. Singlet gate for every tube (FSC-A vs FSC-H). Events below the band are doublets and aggregates.</w:t>
      </w:r>
    </w:p>
    <w:p>
      <w:pPr>
        <w:spacing w:after="120" w:line="276" w:lineRule="auto"/>
      </w:pPr>
      <w:r>
        <w:rPr>
          <w:rFonts w:ascii="Calibri" w:hAnsi="Calibri"/>
          <w:b w:val="0"/>
          <w:i w:val="0"/>
          <w:color w:val="1A1A1A"/>
          <w:sz w:val="21"/>
        </w:rPr>
        <w:t>CD4+ was 57.2% (Low), 58.0% (Medium) and 59.7% (High) of singlets; each matched unstained control read 0.5%, as set by the threshold. The CD4+ and CD4- peaks are separated at every setting (Figure 3), and the stain index was 71.8 at Low, 95.7 at Medium and 99.6 at High (table below). In each stained tube the CD4- peak sits above the unstained control's peak, so its upper tail reaches the threshold, and a small CD4-dim population (the higher-SSC-A events in Figure 1c) lies above the threshold.</w:t>
      </w:r>
    </w:p>
    <w:p>
      <w:pPr>
        <w:spacing w:before="80" w:after="40"/>
        <w:jc w:val="center"/>
      </w:pPr>
      <w:r>
        <w:drawing>
          <wp:inline xmlns:a="http://schemas.openxmlformats.org/drawingml/2006/main" xmlns:pic="http://schemas.openxmlformats.org/drawingml/2006/picture">
            <wp:extent cx="5120640" cy="2110818"/>
            <wp:docPr id="3" name="Picture 3"/>
            <wp:cNvGraphicFramePr>
              <a:graphicFrameLocks noChangeAspect="1"/>
            </wp:cNvGraphicFramePr>
            <a:graphic>
              <a:graphicData uri="http://schemas.openxmlformats.org/drawingml/2006/picture">
                <pic:pic>
                  <pic:nvPicPr>
                    <pic:cNvPr id="0" name="04_marker_histograms.png"/>
                    <pic:cNvPicPr/>
                  </pic:nvPicPr>
                  <pic:blipFill>
                    <a:blip r:embed="rId11"/>
                    <a:stretch>
                      <a:fillRect/>
                    </a:stretch>
                  </pic:blipFill>
                  <pic:spPr>
                    <a:xfrm>
                      <a:off x="0" y="0"/>
                      <a:ext cx="5120640" cy="2110818"/>
                    </a:xfrm>
                    <a:prstGeom prst="rect"/>
                  </pic:spPr>
                </pic:pic>
              </a:graphicData>
            </a:graphic>
          </wp:inline>
        </w:drawing>
      </w:r>
    </w:p>
    <w:p>
      <w:pPr>
        <w:spacing w:after="160"/>
        <w:jc w:val="center"/>
      </w:pPr>
      <w:r>
        <w:rPr>
          <w:rFonts w:ascii="Calibri" w:hAnsi="Calibri"/>
          <w:b w:val="0"/>
          <w:i/>
          <w:color w:val="5A5A5A"/>
          <w:sz w:val="18"/>
        </w:rPr>
        <w:t>Figure 3. CD4 PE (FL3-A) in stained tubes (blue) against the matched negative control (grey); orange line = CD4+ threshold.</w:t>
      </w:r>
    </w:p>
    <w:tbl>
      <w:tblPr>
        <w:tblW w:type="auto" w:w="0"/>
        <w:tblLook w:firstColumn="1" w:firstRow="1" w:lastColumn="0" w:lastRow="0" w:noHBand="0" w:noVBand="1" w:val="04A0"/>
        <w:tblBorders>
          <w:top w:val="single" w:sz="4" w:color="8C1515"/>
          <w:bottom w:val="single" w:sz="4" w:color="8C1515"/>
          <w:insideH w:val="single" w:sz="4" w:color="8C1515"/>
          <w:left w:val="none"/>
          <w:right w:val="none"/>
          <w:insideV w:val="none"/>
        </w:tblBorders>
        <w:tblCellMar>
          <w:top w:w="60" w:type="dxa"/>
          <w:bottom w:w="60" w:type="dxa"/>
          <w:start w:w="100" w:type="dxa"/>
          <w:end w:w="100" w:type="dxa"/>
        </w:tblCellMar>
      </w:tblPr>
      <w:tblGrid>
        <w:gridCol w:w="1608"/>
        <w:gridCol w:w="1608"/>
        <w:gridCol w:w="1608"/>
        <w:gridCol w:w="1608"/>
        <w:gridCol w:w="1608"/>
        <w:gridCol w:w="1608"/>
      </w:tblGrid>
      <w:tr>
        <w:tc>
          <w:tcPr>
            <w:tcW w:type="dxa" w:w="1608"/>
            <w:shd w:val="clear" w:fill="F3EEEE"/>
          </w:tcPr>
          <w:p>
            <w:pPr>
              <w:spacing w:after="20"/>
            </w:pPr>
            <w:r>
              <w:rPr>
                <w:rFonts w:ascii="Calibri" w:hAnsi="Calibri"/>
                <w:b/>
                <w:i w:val="0"/>
                <w:color w:val="8C1515"/>
                <w:sz w:val="19"/>
              </w:rPr>
              <w:t>Sample</w:t>
            </w:r>
          </w:p>
        </w:tc>
        <w:tc>
          <w:tcPr>
            <w:tcW w:type="dxa" w:w="1608"/>
            <w:shd w:val="clear" w:fill="F3EEEE"/>
          </w:tcPr>
          <w:p>
            <w:pPr>
              <w:spacing w:after="20"/>
            </w:pPr>
            <w:r>
              <w:rPr>
                <w:rFonts w:ascii="Calibri" w:hAnsi="Calibri"/>
                <w:b/>
                <w:i w:val="0"/>
                <w:color w:val="8C1515"/>
                <w:sz w:val="19"/>
              </w:rPr>
              <w:t>CD4+ (%)</w:t>
            </w:r>
          </w:p>
        </w:tc>
        <w:tc>
          <w:tcPr>
            <w:tcW w:type="dxa" w:w="1608"/>
            <w:shd w:val="clear" w:fill="F3EEEE"/>
          </w:tcPr>
          <w:p>
            <w:pPr>
              <w:spacing w:after="20"/>
            </w:pPr>
            <w:r>
              <w:rPr>
                <w:rFonts w:ascii="Calibri" w:hAnsi="Calibri"/>
                <w:b/>
                <w:i w:val="0"/>
                <w:color w:val="8C1515"/>
                <w:sz w:val="19"/>
              </w:rPr>
              <w:t>Median CD4+</w:t>
            </w:r>
          </w:p>
        </w:tc>
        <w:tc>
          <w:tcPr>
            <w:tcW w:type="dxa" w:w="1608"/>
            <w:shd w:val="clear" w:fill="F3EEEE"/>
          </w:tcPr>
          <w:p>
            <w:pPr>
              <w:spacing w:after="20"/>
            </w:pPr>
            <w:r>
              <w:rPr>
                <w:rFonts w:ascii="Calibri" w:hAnsi="Calibri"/>
                <w:b/>
                <w:i w:val="0"/>
                <w:color w:val="8C1515"/>
                <w:sz w:val="19"/>
              </w:rPr>
              <w:t>Median CD4−</w:t>
            </w:r>
          </w:p>
        </w:tc>
        <w:tc>
          <w:tcPr>
            <w:tcW w:type="dxa" w:w="1608"/>
            <w:shd w:val="clear" w:fill="F3EEEE"/>
          </w:tcPr>
          <w:p>
            <w:pPr>
              <w:spacing w:after="20"/>
            </w:pPr>
            <w:r>
              <w:rPr>
                <w:rFonts w:ascii="Calibri" w:hAnsi="Calibri"/>
                <w:b/>
                <w:i w:val="0"/>
                <w:color w:val="8C1515"/>
                <w:sz w:val="19"/>
              </w:rPr>
              <w:t>rSD CD4−</w:t>
            </w:r>
          </w:p>
        </w:tc>
        <w:tc>
          <w:tcPr>
            <w:tcW w:type="dxa" w:w="1608"/>
            <w:shd w:val="clear" w:fill="F3EEEE"/>
          </w:tcPr>
          <w:p>
            <w:pPr>
              <w:spacing w:after="20"/>
            </w:pPr>
            <w:r>
              <w:rPr>
                <w:rFonts w:ascii="Calibri" w:hAnsi="Calibri"/>
                <w:b/>
                <w:i w:val="0"/>
                <w:color w:val="8C1515"/>
                <w:sz w:val="19"/>
              </w:rPr>
              <w:t>Stain index</w:t>
            </w:r>
          </w:p>
        </w:tc>
      </w:tr>
      <w:tr>
        <w:tc>
          <w:tcPr>
            <w:tcW w:type="dxa" w:w="1608"/>
          </w:tcPr>
          <w:p>
            <w:pPr>
              <w:spacing w:after="20"/>
            </w:pPr>
            <w:r>
              <w:rPr>
                <w:rFonts w:ascii="Calibri" w:hAnsi="Calibri"/>
                <w:b w:val="0"/>
                <w:i w:val="0"/>
                <w:color w:val="1A1A1A"/>
                <w:sz w:val="19"/>
              </w:rPr>
              <w:t>CD4-PE, Low</w:t>
            </w:r>
          </w:p>
        </w:tc>
        <w:tc>
          <w:tcPr>
            <w:tcW w:type="dxa" w:w="1608"/>
          </w:tcPr>
          <w:p>
            <w:pPr>
              <w:spacing w:after="20"/>
            </w:pPr>
            <w:r>
              <w:rPr>
                <w:rFonts w:ascii="Calibri" w:hAnsi="Calibri"/>
                <w:b w:val="0"/>
                <w:i w:val="0"/>
                <w:color w:val="1A1A1A"/>
                <w:sz w:val="19"/>
              </w:rPr>
              <w:t>57.2</w:t>
            </w:r>
          </w:p>
        </w:tc>
        <w:tc>
          <w:tcPr>
            <w:tcW w:type="dxa" w:w="1608"/>
          </w:tcPr>
          <w:p>
            <w:pPr>
              <w:spacing w:after="20"/>
            </w:pPr>
            <w:r>
              <w:rPr>
                <w:rFonts w:ascii="Calibri" w:hAnsi="Calibri"/>
                <w:b w:val="0"/>
                <w:i w:val="0"/>
                <w:color w:val="1A1A1A"/>
                <w:sz w:val="19"/>
              </w:rPr>
              <w:t>5,031</w:t>
            </w:r>
          </w:p>
        </w:tc>
        <w:tc>
          <w:tcPr>
            <w:tcW w:type="dxa" w:w="1608"/>
          </w:tcPr>
          <w:p>
            <w:pPr>
              <w:spacing w:after="20"/>
            </w:pPr>
            <w:r>
              <w:rPr>
                <w:rFonts w:ascii="Calibri" w:hAnsi="Calibri"/>
                <w:b w:val="0"/>
                <w:i w:val="0"/>
                <w:color w:val="1A1A1A"/>
                <w:sz w:val="19"/>
              </w:rPr>
              <w:t>47</w:t>
            </w:r>
          </w:p>
        </w:tc>
        <w:tc>
          <w:tcPr>
            <w:tcW w:type="dxa" w:w="1608"/>
          </w:tcPr>
          <w:p>
            <w:pPr>
              <w:spacing w:after="20"/>
            </w:pPr>
            <w:r>
              <w:rPr>
                <w:rFonts w:ascii="Calibri" w:hAnsi="Calibri"/>
                <w:b w:val="0"/>
                <w:i w:val="0"/>
                <w:color w:val="1A1A1A"/>
                <w:sz w:val="19"/>
              </w:rPr>
              <w:t>35</w:t>
            </w:r>
          </w:p>
        </w:tc>
        <w:tc>
          <w:tcPr>
            <w:tcW w:type="dxa" w:w="1608"/>
          </w:tcPr>
          <w:p>
            <w:pPr>
              <w:spacing w:after="20"/>
            </w:pPr>
            <w:r>
              <w:rPr>
                <w:rFonts w:ascii="Calibri" w:hAnsi="Calibri"/>
                <w:b w:val="0"/>
                <w:i w:val="0"/>
                <w:color w:val="1A1A1A"/>
                <w:sz w:val="19"/>
              </w:rPr>
              <w:t>71.8</w:t>
            </w:r>
          </w:p>
        </w:tc>
      </w:tr>
      <w:tr>
        <w:tc>
          <w:tcPr>
            <w:tcW w:type="dxa" w:w="1608"/>
          </w:tcPr>
          <w:p>
            <w:pPr>
              <w:spacing w:after="20"/>
            </w:pPr>
            <w:r>
              <w:rPr>
                <w:rFonts w:ascii="Calibri" w:hAnsi="Calibri"/>
                <w:b w:val="0"/>
                <w:i w:val="0"/>
                <w:color w:val="1A1A1A"/>
                <w:sz w:val="19"/>
              </w:rPr>
              <w:t>CD4-PE, Medium</w:t>
            </w:r>
          </w:p>
        </w:tc>
        <w:tc>
          <w:tcPr>
            <w:tcW w:type="dxa" w:w="1608"/>
          </w:tcPr>
          <w:p>
            <w:pPr>
              <w:spacing w:after="20"/>
            </w:pPr>
            <w:r>
              <w:rPr>
                <w:rFonts w:ascii="Calibri" w:hAnsi="Calibri"/>
                <w:b w:val="0"/>
                <w:i w:val="0"/>
                <w:color w:val="1A1A1A"/>
                <w:sz w:val="19"/>
              </w:rPr>
              <w:t>58.0</w:t>
            </w:r>
          </w:p>
        </w:tc>
        <w:tc>
          <w:tcPr>
            <w:tcW w:type="dxa" w:w="1608"/>
          </w:tcPr>
          <w:p>
            <w:pPr>
              <w:spacing w:after="20"/>
            </w:pPr>
            <w:r>
              <w:rPr>
                <w:rFonts w:ascii="Calibri" w:hAnsi="Calibri"/>
                <w:b w:val="0"/>
                <w:i w:val="0"/>
                <w:color w:val="1A1A1A"/>
                <w:sz w:val="19"/>
              </w:rPr>
              <w:t>26,122</w:t>
            </w:r>
          </w:p>
        </w:tc>
        <w:tc>
          <w:tcPr>
            <w:tcW w:type="dxa" w:w="1608"/>
          </w:tcPr>
          <w:p>
            <w:pPr>
              <w:spacing w:after="20"/>
            </w:pPr>
            <w:r>
              <w:rPr>
                <w:rFonts w:ascii="Calibri" w:hAnsi="Calibri"/>
                <w:b w:val="0"/>
                <w:i w:val="0"/>
                <w:color w:val="1A1A1A"/>
                <w:sz w:val="19"/>
              </w:rPr>
              <w:t>331</w:t>
            </w:r>
          </w:p>
        </w:tc>
        <w:tc>
          <w:tcPr>
            <w:tcW w:type="dxa" w:w="1608"/>
          </w:tcPr>
          <w:p>
            <w:pPr>
              <w:spacing w:after="20"/>
            </w:pPr>
            <w:r>
              <w:rPr>
                <w:rFonts w:ascii="Calibri" w:hAnsi="Calibri"/>
                <w:b w:val="0"/>
                <w:i w:val="0"/>
                <w:color w:val="1A1A1A"/>
                <w:sz w:val="19"/>
              </w:rPr>
              <w:t>135</w:t>
            </w:r>
          </w:p>
        </w:tc>
        <w:tc>
          <w:tcPr>
            <w:tcW w:type="dxa" w:w="1608"/>
          </w:tcPr>
          <w:p>
            <w:pPr>
              <w:spacing w:after="20"/>
            </w:pPr>
            <w:r>
              <w:rPr>
                <w:rFonts w:ascii="Calibri" w:hAnsi="Calibri"/>
                <w:b w:val="0"/>
                <w:i w:val="0"/>
                <w:color w:val="1A1A1A"/>
                <w:sz w:val="19"/>
              </w:rPr>
              <w:t>95.7</w:t>
            </w:r>
          </w:p>
        </w:tc>
      </w:tr>
      <w:tr>
        <w:tc>
          <w:tcPr>
            <w:tcW w:type="dxa" w:w="1608"/>
          </w:tcPr>
          <w:p>
            <w:pPr>
              <w:spacing w:after="20"/>
            </w:pPr>
            <w:r>
              <w:rPr>
                <w:rFonts w:ascii="Calibri" w:hAnsi="Calibri"/>
                <w:b w:val="0"/>
                <w:i w:val="0"/>
                <w:color w:val="1A1A1A"/>
                <w:sz w:val="19"/>
              </w:rPr>
              <w:t>CD4-PE, High</w:t>
            </w:r>
          </w:p>
        </w:tc>
        <w:tc>
          <w:tcPr>
            <w:tcW w:type="dxa" w:w="1608"/>
          </w:tcPr>
          <w:p>
            <w:pPr>
              <w:spacing w:after="20"/>
            </w:pPr>
            <w:r>
              <w:rPr>
                <w:rFonts w:ascii="Calibri" w:hAnsi="Calibri"/>
                <w:b w:val="0"/>
                <w:i w:val="0"/>
                <w:color w:val="1A1A1A"/>
                <w:sz w:val="19"/>
              </w:rPr>
              <w:t>59.7</w:t>
            </w:r>
          </w:p>
        </w:tc>
        <w:tc>
          <w:tcPr>
            <w:tcW w:type="dxa" w:w="1608"/>
          </w:tcPr>
          <w:p>
            <w:pPr>
              <w:spacing w:after="20"/>
            </w:pPr>
            <w:r>
              <w:rPr>
                <w:rFonts w:ascii="Calibri" w:hAnsi="Calibri"/>
                <w:b w:val="0"/>
                <w:i w:val="0"/>
                <w:color w:val="1A1A1A"/>
                <w:sz w:val="19"/>
              </w:rPr>
              <w:t>228,380</w:t>
            </w:r>
          </w:p>
        </w:tc>
        <w:tc>
          <w:tcPr>
            <w:tcW w:type="dxa" w:w="1608"/>
          </w:tcPr>
          <w:p>
            <w:pPr>
              <w:spacing w:after="20"/>
            </w:pPr>
            <w:r>
              <w:rPr>
                <w:rFonts w:ascii="Calibri" w:hAnsi="Calibri"/>
                <w:b w:val="0"/>
                <w:i w:val="0"/>
                <w:color w:val="1A1A1A"/>
                <w:sz w:val="19"/>
              </w:rPr>
              <w:t>3,295</w:t>
            </w:r>
          </w:p>
        </w:tc>
        <w:tc>
          <w:tcPr>
            <w:tcW w:type="dxa" w:w="1608"/>
          </w:tcPr>
          <w:p>
            <w:pPr>
              <w:spacing w:after="20"/>
            </w:pPr>
            <w:r>
              <w:rPr>
                <w:rFonts w:ascii="Calibri" w:hAnsi="Calibri"/>
                <w:b w:val="0"/>
                <w:i w:val="0"/>
                <w:color w:val="1A1A1A"/>
                <w:sz w:val="19"/>
              </w:rPr>
              <w:t>1,130</w:t>
            </w:r>
          </w:p>
        </w:tc>
        <w:tc>
          <w:tcPr>
            <w:tcW w:type="dxa" w:w="1608"/>
          </w:tcPr>
          <w:p>
            <w:pPr>
              <w:spacing w:after="20"/>
            </w:pPr>
            <w:r>
              <w:rPr>
                <w:rFonts w:ascii="Calibri" w:hAnsi="Calibri"/>
                <w:b w:val="0"/>
                <w:i w:val="0"/>
                <w:color w:val="1A1A1A"/>
                <w:sz w:val="19"/>
              </w:rPr>
              <w:t>99.6</w:t>
            </w:r>
          </w:p>
        </w:tc>
      </w:tr>
    </w:tbl>
    <w:p>
      <w:pPr>
        <w:spacing w:after="40"/>
      </w:pPr>
    </w:p>
    <w:p>
      <w:pPr>
        <w:spacing w:after="120" w:line="276" w:lineRule="auto"/>
      </w:pPr>
      <w:r>
        <w:rPr>
          <w:rFonts w:ascii="Calibri" w:hAnsi="Calibri"/>
          <w:b w:val="0"/>
          <w:i w:val="0"/>
          <w:color w:val="1A1A1A"/>
          <w:sz w:val="21"/>
        </w:rPr>
        <w:t>Medians are linear-scale FL3-A values of the CD4+ and CD4− singlets in the same stained tube; rSD is the median absolute deviation scaled to a standard deviation. Medians depend on the instrument settings and are not comparable across settings; the stain index, (median CD4+ - median CD4−) / (2 x rSD CD4−), is.</w:t>
      </w:r>
    </w:p>
    <w:p>
      <w:pPr>
        <w:keepNext/>
        <w:spacing w:before="200" w:after="60"/>
      </w:pPr>
      <w:r>
        <w:rPr>
          <w:rFonts w:ascii="Calibri" w:hAnsi="Calibri"/>
          <w:b/>
          <w:i w:val="0"/>
          <w:color w:val="8C1515"/>
          <w:sz w:val="26"/>
        </w:rPr>
        <w:t>5. Interpretation</w:t>
      </w:r>
    </w:p>
    <w:p>
      <w:pPr>
        <w:spacing w:after="120" w:line="276" w:lineRule="auto"/>
      </w:pPr>
      <w:r>
        <w:rPr>
          <w:rFonts w:ascii="Calibri" w:hAnsi="Calibri"/>
          <w:b w:val="0"/>
          <w:i w:val="0"/>
          <w:color w:val="1A1A1A"/>
          <w:sz w:val="21"/>
        </w:rPr>
        <w:t>CD4+ frequency is stable across the three settings (57.2-59.7% of singlets). Resolution (stain index) improves from Low to Medium and changes little from Medium to High. Caveats: this is n = 1 lyophilized sample, so it tests consistency across instrument settings, not across samples or donors; the CD4+ gate includes CD4-dim monocytes, so this is not a CD4 T-cell frequency; the data are uncompensated, which is fine for this one-color readout.</w:t>
      </w:r>
    </w:p>
    <w:p>
      <w:pPr>
        <w:pStyle w:val="ListBullet"/>
        <w:spacing w:after="40" w:line="264" w:lineRule="auto"/>
      </w:pPr>
      <w:r>
        <w:rPr>
          <w:rFonts w:ascii="Calibri" w:hAnsi="Calibri"/>
          <w:b w:val="0"/>
          <w:i w:val="0"/>
          <w:color w:val="1A1A1A"/>
          <w:sz w:val="21"/>
        </w:rPr>
        <w:t>Most acquired events are debris: cells were 15.1-18.1% of events. Typical for lyophilized material; a low FSC threshold would also contribute (threshold not provided).</w:t>
      </w:r>
    </w:p>
    <w:p>
      <w:pPr>
        <w:pStyle w:val="ListBullet"/>
        <w:spacing w:after="40" w:line="264" w:lineRule="auto"/>
      </w:pPr>
      <w:r>
        <w:rPr>
          <w:rFonts w:ascii="Calibri" w:hAnsi="Calibri"/>
          <w:b w:val="0"/>
          <w:i w:val="0"/>
          <w:color w:val="1A1A1A"/>
          <w:sz w:val="21"/>
        </w:rPr>
        <w:t>Data are uncompensated (identity spillover matrix). Acceptable for a single-color readout; PE spillover into FL2, FL4, FL5 and FL6 is visible in 05_all_detectors.png.</w:t>
      </w:r>
    </w:p>
    <w:p>
      <w:pPr>
        <w:pStyle w:val="ListBullet"/>
        <w:spacing w:after="40" w:line="264" w:lineRule="auto"/>
      </w:pPr>
      <w:r>
        <w:rPr>
          <w:rFonts w:ascii="Calibri" w:hAnsi="Calibri"/>
          <w:b w:val="0"/>
          <w:i w:val="0"/>
          <w:color w:val="1A1A1A"/>
          <w:sz w:val="21"/>
        </w:rPr>
        <w:t>Unstained controls read about 0.5% CD4+ by construction (99.5th-percentile threshold), so the control value is not an independent false-positive rate.</w:t>
      </w:r>
    </w:p>
    <w:p>
      <w:pPr>
        <w:keepNext/>
        <w:spacing w:before="200" w:after="60"/>
      </w:pPr>
      <w:r>
        <w:rPr>
          <w:rFonts w:ascii="Calibri" w:hAnsi="Calibri"/>
          <w:b/>
          <w:i w:val="0"/>
          <w:color w:val="8C1515"/>
          <w:sz w:val="26"/>
        </w:rPr>
        <w:t>6. Blockers / decisions needed</w:t>
      </w:r>
    </w:p>
    <w:tbl>
      <w:tblPr>
        <w:tblW w:type="auto" w:w="0"/>
        <w:tblLook w:firstColumn="1" w:firstRow="1" w:lastColumn="0" w:lastRow="0" w:noHBand="0" w:noVBand="1" w:val="04A0"/>
        <w:tblCellMar>
          <w:top w:w="100" w:type="dxa"/>
          <w:bottom w:w="100" w:type="dxa"/>
          <w:start w:w="140" w:type="dxa"/>
          <w:end w:w="140" w:type="dxa"/>
        </w:tblCellMar>
      </w:tblPr>
      <w:tblGrid>
        <w:gridCol w:w="9648"/>
      </w:tblGrid>
      <w:tr>
        <w:tc>
          <w:tcPr>
            <w:tcW w:type="dxa" w:w="9648"/>
            <w:shd w:val="clear" w:fill="F3EEEE"/>
            <w:tcBorders>
              <w:left w:val="single" w:sz="18" w:color="8C1515"/>
            </w:tcBorders>
          </w:tcPr>
          <w:p>
            <w:pPr>
              <w:spacing w:after="0"/>
            </w:pPr>
            <w:r>
              <w:rPr>
                <w:rFonts w:ascii="Calibri" w:hAnsi="Calibri"/>
                <w:b/>
                <w:i w:val="0"/>
                <w:color w:val="8C1515"/>
                <w:sz w:val="18"/>
              </w:rPr>
              <w:t xml:space="preserve">DECISION NEEDED  </w:t>
            </w:r>
            <w:r>
              <w:rPr>
                <w:rFonts w:ascii="Calibri" w:hAnsi="Calibri"/>
                <w:b w:val="0"/>
                <w:i w:val="0"/>
                <w:color w:val="1A1A1A"/>
                <w:sz w:val="20"/>
              </w:rPr>
              <w:t>Adopt the size-aware FSC-A/FSC-H singlet gate as the lab default for SH800 data? On these six tubes it kept 76.9-79.9% of cells, and no kept event had FSC-A/FSC-H above 1.5 (Figure 2).</w:t>
            </w:r>
          </w:p>
        </w:tc>
      </w:tr>
    </w:tbl>
    <w:p>
      <w:pPr>
        <w:spacing w:after="40"/>
      </w:pPr>
    </w:p>
    <w:p>
      <w:pPr>
        <w:spacing w:after="120" w:line="276" w:lineRule="auto"/>
      </w:pPr>
      <w:r>
        <w:rPr>
          <w:rFonts w:ascii="Calibri" w:hAnsi="Calibri"/>
          <w:b w:val="0"/>
          <w:i w:val="0"/>
          <w:color w:val="1A1A1A"/>
          <w:sz w:val="21"/>
        </w:rPr>
        <w:t>No other blockers this period.</w:t>
      </w:r>
    </w:p>
    <w:p>
      <w:pPr>
        <w:keepNext/>
        <w:spacing w:before="200" w:after="60"/>
      </w:pPr>
      <w:r>
        <w:rPr>
          <w:rFonts w:ascii="Calibri" w:hAnsi="Calibri"/>
          <w:b/>
          <w:i w:val="0"/>
          <w:color w:val="8C1515"/>
          <w:sz w:val="26"/>
        </w:rPr>
        <w:t>7. Next steps</w:t>
      </w:r>
    </w:p>
    <w:p>
      <w:pPr>
        <w:pStyle w:val="ListNumber"/>
        <w:spacing w:after="40" w:line="264" w:lineRule="auto"/>
      </w:pPr>
      <w:r>
        <w:rPr>
          <w:rFonts w:ascii="Calibri" w:hAnsi="Calibri"/>
          <w:b w:val="0"/>
          <w:i w:val="0"/>
          <w:color w:val="1A1A1A"/>
          <w:sz w:val="21"/>
        </w:rPr>
        <w:t>A lab member runs the pipeline on the lab's own SH800 exports from the next sort. Target: within two weeks.</w:t>
      </w:r>
    </w:p>
    <w:p>
      <w:pPr>
        <w:pStyle w:val="ListNumber"/>
        <w:spacing w:after="40" w:line="264" w:lineRule="auto"/>
      </w:pPr>
      <w:r>
        <w:rPr>
          <w:rFonts w:ascii="Calibri" w:hAnsi="Calibri"/>
          <w:b w:val="0"/>
          <w:i w:val="0"/>
          <w:color w:val="1A1A1A"/>
          <w:sz w:val="21"/>
        </w:rPr>
        <w:t>Add an index-sort join so SH800 index-sort phenotypes can be linked to PTA / ResolveOME plates. Target date: not provided.</w:t>
      </w:r>
    </w:p>
    <w:p>
      <w:pPr>
        <w:keepNext/>
        <w:spacing w:before="200" w:after="60"/>
      </w:pPr>
      <w:r>
        <w:rPr>
          <w:rFonts w:ascii="Calibri" w:hAnsi="Calibri"/>
          <w:b/>
          <w:i w:val="0"/>
          <w:color w:val="8C1515"/>
          <w:sz w:val="26"/>
        </w:rPr>
        <w:t>8. Data &amp; code availability</w:t>
      </w:r>
    </w:p>
    <w:tbl>
      <w:tblPr>
        <w:tblW w:type="auto" w:w="0"/>
        <w:tblLook w:firstColumn="1" w:firstRow="1" w:lastColumn="0" w:lastRow="0" w:noHBand="0" w:noVBand="1" w:val="04A0"/>
        <w:tblBorders>
          <w:top w:val="single" w:sz="4" w:color="8C1515"/>
          <w:bottom w:val="single" w:sz="4" w:color="8C1515"/>
          <w:insideH w:val="single" w:sz="4" w:color="8C1515"/>
          <w:left w:val="none"/>
          <w:right w:val="none"/>
          <w:insideV w:val="none"/>
        </w:tblBorders>
        <w:tblCellMar>
          <w:top w:w="60" w:type="dxa"/>
          <w:bottom w:w="60" w:type="dxa"/>
          <w:start w:w="100" w:type="dxa"/>
          <w:end w:w="100" w:type="dxa"/>
        </w:tblCellMar>
      </w:tblPr>
      <w:tblGrid>
        <w:gridCol w:w="3168"/>
        <w:gridCol w:w="6624"/>
      </w:tblGrid>
      <w:tr>
        <w:tc>
          <w:tcPr>
            <w:tcW w:type="dxa" w:w="3168"/>
          </w:tcPr>
          <w:p>
            <w:pPr>
              <w:spacing w:after="20"/>
            </w:pPr>
            <w:r>
              <w:rPr>
                <w:rFonts w:ascii="Calibri" w:hAnsi="Calibri"/>
                <w:b/>
                <w:i w:val="0"/>
                <w:color w:val="1A1A1A"/>
                <w:sz w:val="20"/>
              </w:rPr>
              <w:t>FCS files</w:t>
            </w:r>
          </w:p>
        </w:tc>
        <w:tc>
          <w:tcPr>
            <w:tcW w:type="dxa" w:w="6624"/>
          </w:tcPr>
          <w:p>
            <w:pPr>
              <w:spacing w:after="20"/>
            </w:pPr>
            <w:r>
              <w:rPr>
                <w:rFonts w:ascii="Calibri" w:hAnsi="Calibri"/>
                <w:b w:val="0"/>
                <w:i w:val="0"/>
                <w:color w:val="1A1A1A"/>
                <w:sz w:val="20"/>
              </w:rPr>
              <w:t>SH800_uOttawa_figshare_30584678/ (experiment folder)</w:t>
            </w:r>
          </w:p>
        </w:tc>
      </w:tr>
      <w:tr>
        <w:tc>
          <w:tcPr>
            <w:tcW w:type="dxa" w:w="3168"/>
          </w:tcPr>
          <w:p>
            <w:pPr>
              <w:spacing w:after="20"/>
            </w:pPr>
            <w:r>
              <w:rPr>
                <w:rFonts w:ascii="Calibri" w:hAnsi="Calibri"/>
                <w:b/>
                <w:i w:val="0"/>
                <w:color w:val="1A1A1A"/>
                <w:sz w:val="20"/>
              </w:rPr>
              <w:t>Pipeline outputs</w:t>
            </w:r>
          </w:p>
        </w:tc>
        <w:tc>
          <w:tcPr>
            <w:tcW w:type="dxa" w:w="6624"/>
          </w:tcPr>
          <w:p>
            <w:pPr>
              <w:spacing w:after="20"/>
            </w:pPr>
            <w:r>
              <w:rPr>
                <w:rFonts w:ascii="Calibri" w:hAnsi="Calibri"/>
                <w:b w:val="0"/>
                <w:i w:val="0"/>
                <w:color w:val="1A1A1A"/>
                <w:sz w:val="20"/>
              </w:rPr>
              <w:t>SH800_uOttawa_figshare_30584678/plots/</w:t>
            </w:r>
          </w:p>
        </w:tc>
      </w:tr>
      <w:tr>
        <w:tc>
          <w:tcPr>
            <w:tcW w:type="dxa" w:w="3168"/>
          </w:tcPr>
          <w:p>
            <w:pPr>
              <w:spacing w:after="20"/>
            </w:pPr>
            <w:r>
              <w:rPr>
                <w:rFonts w:ascii="Calibri" w:hAnsi="Calibri"/>
                <w:b/>
                <w:i w:val="0"/>
                <w:color w:val="1A1A1A"/>
                <w:sz w:val="20"/>
              </w:rPr>
              <w:t>Run script</w:t>
            </w:r>
          </w:p>
        </w:tc>
        <w:tc>
          <w:tcPr>
            <w:tcW w:type="dxa" w:w="6624"/>
          </w:tcPr>
          <w:p>
            <w:pPr>
              <w:spacing w:after="20"/>
            </w:pPr>
            <w:r>
              <w:rPr>
                <w:rFonts w:ascii="Calibri" w:hAnsi="Calibri"/>
                <w:b w:val="0"/>
                <w:i w:val="0"/>
                <w:color w:val="1A1A1A"/>
                <w:sz w:val="20"/>
              </w:rPr>
              <w:t>SH800_uOttawa_figshare_30584678/plots/sh800_flow.R</w:t>
            </w:r>
          </w:p>
        </w:tc>
      </w:tr>
      <w:tr>
        <w:tc>
          <w:tcPr>
            <w:tcW w:type="dxa" w:w="3168"/>
          </w:tcPr>
          <w:p>
            <w:pPr>
              <w:spacing w:after="20"/>
            </w:pPr>
            <w:r>
              <w:rPr>
                <w:rFonts w:ascii="Calibri" w:hAnsi="Calibri"/>
                <w:b/>
                <w:i w:val="0"/>
                <w:color w:val="1A1A1A"/>
                <w:sz w:val="20"/>
              </w:rPr>
              <w:t>Run record</w:t>
            </w:r>
          </w:p>
        </w:tc>
        <w:tc>
          <w:tcPr>
            <w:tcW w:type="dxa" w:w="6624"/>
          </w:tcPr>
          <w:p>
            <w:pPr>
              <w:spacing w:after="20"/>
            </w:pPr>
            <w:r>
              <w:rPr>
                <w:rFonts w:ascii="Calibri" w:hAnsi="Calibri"/>
                <w:b w:val="0"/>
                <w:i w:val="0"/>
                <w:color w:val="1A1A1A"/>
                <w:sz w:val="20"/>
              </w:rPr>
              <w:t>SH800_uOttawa_figshare_30584678/plots/run_info.json</w:t>
            </w:r>
          </w:p>
        </w:tc>
      </w:tr>
      <w:tr>
        <w:tc>
          <w:tcPr>
            <w:tcW w:type="dxa" w:w="3168"/>
          </w:tcPr>
          <w:p>
            <w:pPr>
              <w:spacing w:after="20"/>
            </w:pPr>
            <w:r>
              <w:rPr>
                <w:rFonts w:ascii="Calibri" w:hAnsi="Calibri"/>
                <w:b/>
                <w:i w:val="0"/>
                <w:color w:val="1A1A1A"/>
                <w:sz w:val="20"/>
              </w:rPr>
              <w:t>Figures not embedded</w:t>
            </w:r>
          </w:p>
        </w:tc>
        <w:tc>
          <w:tcPr>
            <w:tcW w:type="dxa" w:w="6624"/>
          </w:tcPr>
          <w:p>
            <w:pPr>
              <w:spacing w:after="20"/>
            </w:pPr>
            <w:r>
              <w:rPr>
                <w:rFonts w:ascii="Calibri" w:hAnsi="Calibri"/>
                <w:b w:val="0"/>
                <w:i w:val="0"/>
                <w:color w:val="1A1A1A"/>
                <w:sz w:val="20"/>
              </w:rPr>
              <w:t>02_qc_debris.png, 05_all_detectors.png, 06_population_frequencies.png, 07_stain_index.png</w:t>
            </w:r>
          </w:p>
        </w:tc>
      </w:tr>
      <w:tr>
        <w:tc>
          <w:tcPr>
            <w:tcW w:type="dxa" w:w="3168"/>
          </w:tcPr>
          <w:p>
            <w:pPr>
              <w:spacing w:after="20"/>
            </w:pPr>
            <w:r>
              <w:rPr>
                <w:rFonts w:ascii="Calibri" w:hAnsi="Calibri"/>
                <w:b/>
                <w:i w:val="0"/>
                <w:color w:val="1A1A1A"/>
                <w:sz w:val="20"/>
              </w:rPr>
              <w:t>Tables</w:t>
            </w:r>
          </w:p>
        </w:tc>
        <w:tc>
          <w:tcPr>
            <w:tcW w:type="dxa" w:w="6624"/>
          </w:tcPr>
          <w:p>
            <w:pPr>
              <w:spacing w:after="20"/>
            </w:pPr>
            <w:r>
              <w:rPr>
                <w:rFonts w:ascii="Calibri" w:hAnsi="Calibri"/>
                <w:b w:val="0"/>
                <w:i w:val="0"/>
                <w:color w:val="1A1A1A"/>
                <w:sz w:val="20"/>
              </w:rPr>
              <w:t>gate_percent.csv, median_intensity.csv, qc_events.csv, singlet_gate_parameters.csv, stain_index.csv</w:t>
            </w:r>
          </w:p>
        </w:tc>
      </w:tr>
      <w:tr>
        <w:tc>
          <w:tcPr>
            <w:tcW w:type="dxa" w:w="3168"/>
          </w:tcPr>
          <w:p>
            <w:pPr>
              <w:spacing w:after="20"/>
            </w:pPr>
            <w:r>
              <w:rPr>
                <w:rFonts w:ascii="Calibri" w:hAnsi="Calibri"/>
                <w:b/>
                <w:i w:val="0"/>
                <w:color w:val="1A1A1A"/>
                <w:sz w:val="20"/>
              </w:rPr>
              <w:t>Raw-data backup</w:t>
            </w:r>
          </w:p>
        </w:tc>
        <w:tc>
          <w:tcPr>
            <w:tcW w:type="dxa" w:w="6624"/>
          </w:tcPr>
          <w:p>
            <w:pPr>
              <w:spacing w:after="20"/>
            </w:pPr>
            <w:r>
              <w:rPr>
                <w:rFonts w:ascii="Calibri" w:hAnsi="Calibri"/>
                <w:b w:val="0"/>
                <w:i w:val="0"/>
                <w:color w:val="1A1A1A"/>
                <w:sz w:val="20"/>
              </w:rPr>
              <w:t>figshare 10.6084/m9.figshare.30584678 (public record) and the shared 'Sony Analysis Test' folder</w:t>
            </w:r>
          </w:p>
        </w:tc>
      </w:tr>
    </w:tbl>
    <w:p>
      <w:pPr>
        <w:spacing w:after="40"/>
      </w:pPr>
    </w:p>
    <w:sectPr w:rsidR="00FC693F" w:rsidRPr="0006063C" w:rsidSect="00034616">
      <w:footerReference w:type="default" r:id="rId12"/>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5A5A"/>
        <w:sz w:val="16"/>
      </w:rPr>
      <w:t>Gawad Lab · Stanford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