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2012C1">
      <w:pPr>
        <w:pStyle w:val="Titel"/>
        <w:jc w:val="both"/>
      </w:pPr>
      <w:r>
        <w:t>Cheftrainer – Football Manager</w:t>
      </w:r>
    </w:p>
    <w:p w:rsidR="00D72F92" w:rsidRDefault="00D72F92" w:rsidP="002012C1">
      <w:pPr>
        <w:pStyle w:val="berschrift1"/>
        <w:jc w:val="both"/>
      </w:pPr>
    </w:p>
    <w:p w:rsidR="00834AA9" w:rsidRDefault="00E73E07" w:rsidP="002012C1">
      <w:pPr>
        <w:pStyle w:val="berschrift1"/>
        <w:jc w:val="both"/>
      </w:pPr>
      <w:r>
        <w:t>Beschreibung des Spiels</w:t>
      </w:r>
    </w:p>
    <w:p w:rsidR="003D4F21" w:rsidRPr="003D4F21" w:rsidRDefault="00834AA9" w:rsidP="002012C1">
      <w:pPr>
        <w:pStyle w:val="berschrift1"/>
        <w:jc w:val="both"/>
      </w:pPr>
      <w:r>
        <w:t>Anleitung</w:t>
      </w:r>
    </w:p>
    <w:p w:rsidR="00ED4D25" w:rsidRDefault="00ED4D25" w:rsidP="002012C1">
      <w:pPr>
        <w:pStyle w:val="berschrift2"/>
        <w:jc w:val="both"/>
      </w:pPr>
      <w:r>
        <w:t>Registrierung</w:t>
      </w:r>
      <w:r w:rsidR="0008787C">
        <w:t xml:space="preserve"> und Anmeldung</w:t>
      </w:r>
    </w:p>
    <w:p w:rsidR="003D4F21" w:rsidRDefault="003D4F21" w:rsidP="002012C1">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2012C1">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2012C1">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2012C1">
      <w:pPr>
        <w:pStyle w:val="berschrift2"/>
        <w:jc w:val="both"/>
      </w:pPr>
      <w:r>
        <w:t>Verwaltung von Ligen (Erstellen, Beitreten und Spielen)</w:t>
      </w:r>
    </w:p>
    <w:p w:rsidR="00D45FD7" w:rsidRDefault="00B55748" w:rsidP="002012C1">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2012C1">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2012C1">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2012C1">
      <w:pPr>
        <w:pStyle w:val="berschrift2"/>
        <w:tabs>
          <w:tab w:val="left" w:pos="3650"/>
        </w:tabs>
        <w:jc w:val="both"/>
      </w:pPr>
      <w:r>
        <w:lastRenderedPageBreak/>
        <w:t>Handel mit Spielern</w:t>
      </w:r>
      <w:r w:rsidR="00BF606D">
        <w:tab/>
      </w:r>
    </w:p>
    <w:p w:rsidR="00351935" w:rsidRDefault="00351935" w:rsidP="002012C1">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2012C1">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2012C1">
      <w:pPr>
        <w:jc w:val="both"/>
      </w:pPr>
      <w:r>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2012C1">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741F09">
      <w:pPr>
        <w:pStyle w:val="berschrift2"/>
        <w:tabs>
          <w:tab w:val="left" w:pos="6135"/>
        </w:tabs>
        <w:jc w:val="both"/>
      </w:pPr>
      <w:r>
        <w:t>Managen der Aufstellung</w:t>
      </w:r>
      <w:r w:rsidR="00741F09">
        <w:tab/>
      </w:r>
    </w:p>
    <w:p w:rsidR="00741F09" w:rsidRPr="00741F09" w:rsidRDefault="00741F09" w:rsidP="00741F09">
      <w:bookmarkStart w:id="0" w:name="_GoBack"/>
      <w:bookmarkEnd w:id="0"/>
    </w:p>
    <w:p w:rsidR="00507EB0" w:rsidRPr="00507EB0" w:rsidRDefault="00507EB0" w:rsidP="002012C1">
      <w:pPr>
        <w:pStyle w:val="berschrift2"/>
        <w:jc w:val="both"/>
      </w:pPr>
      <w:r>
        <w:t>Spielstand prüfen</w:t>
      </w:r>
    </w:p>
    <w:p w:rsidR="00E73E07" w:rsidRDefault="00E73E07" w:rsidP="002012C1">
      <w:pPr>
        <w:pStyle w:val="berschrift1"/>
        <w:jc w:val="both"/>
      </w:pPr>
      <w:r>
        <w:t>Verwendete Komponenten</w:t>
      </w:r>
    </w:p>
    <w:p w:rsidR="00E73E07" w:rsidRDefault="00E73E07" w:rsidP="002012C1">
      <w:pPr>
        <w:pStyle w:val="berschrift2"/>
        <w:jc w:val="both"/>
      </w:pPr>
      <w:r>
        <w:t>Java FX</w:t>
      </w:r>
    </w:p>
    <w:p w:rsidR="00F80D89" w:rsidRPr="006B4666" w:rsidRDefault="00F80D89" w:rsidP="002012C1">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2012C1">
      <w:pPr>
        <w:pStyle w:val="berschrift2"/>
        <w:jc w:val="both"/>
      </w:pPr>
      <w:r>
        <w:t>Log4J</w:t>
      </w:r>
    </w:p>
    <w:p w:rsidR="00F963FA" w:rsidRPr="00F963FA" w:rsidRDefault="00F963FA" w:rsidP="002012C1">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2012C1">
      <w:pPr>
        <w:pStyle w:val="berschrift2"/>
        <w:jc w:val="both"/>
      </w:pPr>
      <w:r>
        <w:t>Maven</w:t>
      </w:r>
    </w:p>
    <w:p w:rsidR="00DF4AF8" w:rsidRPr="00DF4AF8" w:rsidRDefault="00DF4AF8" w:rsidP="002012C1">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2012C1">
      <w:pPr>
        <w:pStyle w:val="berschrift2"/>
        <w:jc w:val="both"/>
      </w:pPr>
      <w:r>
        <w:lastRenderedPageBreak/>
        <w:t>SQLite</w:t>
      </w:r>
    </w:p>
    <w:p w:rsidR="00BC7EFF" w:rsidRPr="00BC7EFF" w:rsidRDefault="00BC7EFF" w:rsidP="002012C1">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2012C1">
      <w:pPr>
        <w:pStyle w:val="berschrift2"/>
        <w:jc w:val="both"/>
      </w:pPr>
      <w:r>
        <w:t>JUnit</w:t>
      </w:r>
    </w:p>
    <w:p w:rsidR="00A81642" w:rsidRPr="00A81642" w:rsidRDefault="00A81642" w:rsidP="002012C1">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2012C1">
      <w:pPr>
        <w:pStyle w:val="berschrift2"/>
        <w:jc w:val="both"/>
      </w:pPr>
      <w:r>
        <w:t>JDOM</w:t>
      </w:r>
    </w:p>
    <w:p w:rsidR="003F78F1" w:rsidRPr="003F78F1" w:rsidRDefault="003F78F1" w:rsidP="002012C1">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2012C1">
      <w:pPr>
        <w:pStyle w:val="berschrift2"/>
        <w:jc w:val="both"/>
      </w:pPr>
      <w:r>
        <w:t>JSON</w:t>
      </w:r>
    </w:p>
    <w:p w:rsidR="00044331" w:rsidRPr="00044331" w:rsidRDefault="00044331" w:rsidP="002012C1">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2012C1">
      <w:pPr>
        <w:pStyle w:val="berschrift2"/>
        <w:jc w:val="both"/>
      </w:pPr>
      <w:r>
        <w:t>Js</w:t>
      </w:r>
      <w:r w:rsidR="007A77D2">
        <w:t>oup</w:t>
      </w:r>
    </w:p>
    <w:p w:rsidR="0020449B" w:rsidRPr="0020449B" w:rsidRDefault="0020449B" w:rsidP="002012C1">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2012C1">
      <w:pPr>
        <w:pStyle w:val="berschrift1"/>
        <w:jc w:val="both"/>
      </w:pPr>
      <w:r>
        <w:t>Aufbau der Anwendung</w:t>
      </w:r>
    </w:p>
    <w:p w:rsidR="004327EB" w:rsidRDefault="004327EB" w:rsidP="002012C1">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2012C1">
      <w:pPr>
        <w:pStyle w:val="berschrift2"/>
        <w:jc w:val="both"/>
      </w:pPr>
      <w:r>
        <w:t>ServerApplication</w:t>
      </w:r>
    </w:p>
    <w:p w:rsidR="004327EB" w:rsidRDefault="004327EB" w:rsidP="002012C1">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5"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2012C1">
      <w:pPr>
        <w:pStyle w:val="berschrift2"/>
        <w:jc w:val="both"/>
      </w:pPr>
      <w:r>
        <w:lastRenderedPageBreak/>
        <w:t>ClientApplication</w:t>
      </w:r>
    </w:p>
    <w:p w:rsidR="004327EB" w:rsidRDefault="004327EB" w:rsidP="002012C1">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2012C1">
      <w:pPr>
        <w:pStyle w:val="berschrift2"/>
        <w:jc w:val="both"/>
      </w:pPr>
      <w:r>
        <w:t>ConnectorLib</w:t>
      </w:r>
    </w:p>
    <w:p w:rsidR="004327EB" w:rsidRDefault="004327EB" w:rsidP="002012C1">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2012C1">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4327EB" w:rsidRPr="004327EB" w:rsidRDefault="004327EB" w:rsidP="002012C1">
      <w:pPr>
        <w:jc w:val="both"/>
      </w:pPr>
    </w:p>
    <w:p w:rsidR="00EA14FC" w:rsidRDefault="00670B21" w:rsidP="002012C1">
      <w:pPr>
        <w:pStyle w:val="berschrift1"/>
        <w:jc w:val="both"/>
        <w:rPr>
          <w:rFonts w:eastAsiaTheme="minorHAnsi"/>
        </w:rPr>
      </w:pPr>
      <w:r>
        <w:rPr>
          <w:rFonts w:eastAsiaTheme="minorHAnsi"/>
        </w:rPr>
        <w:t>Projekt Management</w:t>
      </w:r>
    </w:p>
    <w:p w:rsidR="00670B21" w:rsidRPr="00670B21" w:rsidRDefault="00670B21" w:rsidP="002012C1">
      <w:pPr>
        <w:jc w:val="both"/>
      </w:pPr>
      <w:r>
        <w:rPr>
          <w:bCs/>
          <w:noProof/>
          <w:lang w:eastAsia="de-DE"/>
        </w:rPr>
        <w:drawing>
          <wp:anchor distT="0" distB="0" distL="114300" distR="114300" simplePos="0" relativeHeight="25165824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Pr="007D787B" w:rsidRDefault="00E73E07" w:rsidP="002012C1">
      <w:pPr>
        <w:pStyle w:val="berschrift1"/>
        <w:jc w:val="both"/>
      </w:pPr>
      <w:r>
        <w:lastRenderedPageBreak/>
        <w:t>Beschreibung des Umsetzungsgrades</w:t>
      </w:r>
    </w:p>
    <w:p w:rsidR="00E73E07" w:rsidRDefault="00E73E07" w:rsidP="002012C1">
      <w:pPr>
        <w:pStyle w:val="berschrift1"/>
        <w:jc w:val="both"/>
        <w:rPr>
          <w:rFonts w:eastAsiaTheme="minorHAnsi"/>
          <w:bCs w:val="0"/>
        </w:rPr>
      </w:pPr>
      <w:r w:rsidRPr="00E73E07">
        <w:rPr>
          <w:rFonts w:eastAsiaTheme="minorHAnsi"/>
          <w:bCs w:val="0"/>
        </w:rPr>
        <w:t>Erkenntnisgewinn</w:t>
      </w:r>
    </w:p>
    <w:p w:rsidR="00670B21" w:rsidRDefault="00670B21" w:rsidP="002012C1">
      <w:pPr>
        <w:jc w:val="both"/>
      </w:pPr>
      <w:r>
        <w:br w:type="page"/>
      </w:r>
    </w:p>
    <w:p w:rsidR="00670B21" w:rsidRDefault="00670B21" w:rsidP="002012C1">
      <w:pPr>
        <w:pStyle w:val="berschrift1"/>
        <w:jc w:val="both"/>
      </w:pPr>
      <w:r>
        <w:lastRenderedPageBreak/>
        <w:t>Anhang</w:t>
      </w:r>
    </w:p>
    <w:p w:rsidR="00670B21" w:rsidRPr="00670B21" w:rsidRDefault="00670B21" w:rsidP="002012C1">
      <w:pPr>
        <w:pStyle w:val="berschrift2"/>
        <w:jc w:val="both"/>
      </w:pPr>
      <w:r>
        <w:t>Aufbau der Anwendung</w:t>
      </w:r>
    </w:p>
    <w:p w:rsidR="00670B21" w:rsidRPr="00670B21" w:rsidRDefault="00B97301" w:rsidP="002012C1">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7" o:title="Aufbau"/>
          </v:shape>
        </w:pict>
      </w:r>
    </w:p>
    <w:sectPr w:rsidR="00670B21" w:rsidRPr="00670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C1FD5"/>
    <w:rsid w:val="000E7E23"/>
    <w:rsid w:val="00114E73"/>
    <w:rsid w:val="00122360"/>
    <w:rsid w:val="002012C1"/>
    <w:rsid w:val="0020449B"/>
    <w:rsid w:val="00214068"/>
    <w:rsid w:val="00233CBF"/>
    <w:rsid w:val="00243C55"/>
    <w:rsid w:val="002C3FA0"/>
    <w:rsid w:val="002D63D9"/>
    <w:rsid w:val="00327618"/>
    <w:rsid w:val="00342B8E"/>
    <w:rsid w:val="00351935"/>
    <w:rsid w:val="00377AB1"/>
    <w:rsid w:val="003962BA"/>
    <w:rsid w:val="003D4F21"/>
    <w:rsid w:val="003E1E86"/>
    <w:rsid w:val="003F78F1"/>
    <w:rsid w:val="00401584"/>
    <w:rsid w:val="004327EB"/>
    <w:rsid w:val="00433BBF"/>
    <w:rsid w:val="00450BC3"/>
    <w:rsid w:val="00455667"/>
    <w:rsid w:val="00497BA0"/>
    <w:rsid w:val="004A7E67"/>
    <w:rsid w:val="004C4EEF"/>
    <w:rsid w:val="00505BCE"/>
    <w:rsid w:val="00507EB0"/>
    <w:rsid w:val="00562A64"/>
    <w:rsid w:val="00590C8F"/>
    <w:rsid w:val="005A4024"/>
    <w:rsid w:val="005B75E2"/>
    <w:rsid w:val="006179EF"/>
    <w:rsid w:val="00622747"/>
    <w:rsid w:val="00670B21"/>
    <w:rsid w:val="00672D08"/>
    <w:rsid w:val="0067363E"/>
    <w:rsid w:val="0068569D"/>
    <w:rsid w:val="00686B56"/>
    <w:rsid w:val="00687638"/>
    <w:rsid w:val="006B4666"/>
    <w:rsid w:val="006F0CE5"/>
    <w:rsid w:val="00736D50"/>
    <w:rsid w:val="00741F09"/>
    <w:rsid w:val="007A77D2"/>
    <w:rsid w:val="007D787B"/>
    <w:rsid w:val="008125BC"/>
    <w:rsid w:val="00834AA9"/>
    <w:rsid w:val="008355D2"/>
    <w:rsid w:val="00871D40"/>
    <w:rsid w:val="008A0284"/>
    <w:rsid w:val="008A387C"/>
    <w:rsid w:val="008B7C88"/>
    <w:rsid w:val="008E5644"/>
    <w:rsid w:val="008F5235"/>
    <w:rsid w:val="008F5E91"/>
    <w:rsid w:val="00902296"/>
    <w:rsid w:val="0091048F"/>
    <w:rsid w:val="00943A2E"/>
    <w:rsid w:val="00955EAD"/>
    <w:rsid w:val="009D00F8"/>
    <w:rsid w:val="009D7415"/>
    <w:rsid w:val="00A21DD2"/>
    <w:rsid w:val="00A3715A"/>
    <w:rsid w:val="00A4623E"/>
    <w:rsid w:val="00A71E9F"/>
    <w:rsid w:val="00A81642"/>
    <w:rsid w:val="00A83AC3"/>
    <w:rsid w:val="00A96BE9"/>
    <w:rsid w:val="00AB0A67"/>
    <w:rsid w:val="00AD0545"/>
    <w:rsid w:val="00AD0C0B"/>
    <w:rsid w:val="00AE0EEB"/>
    <w:rsid w:val="00B41291"/>
    <w:rsid w:val="00B55748"/>
    <w:rsid w:val="00B65F5D"/>
    <w:rsid w:val="00B97301"/>
    <w:rsid w:val="00BC7EFF"/>
    <w:rsid w:val="00BF606D"/>
    <w:rsid w:val="00C34DFF"/>
    <w:rsid w:val="00C40789"/>
    <w:rsid w:val="00C4603D"/>
    <w:rsid w:val="00C72F5C"/>
    <w:rsid w:val="00CA1A58"/>
    <w:rsid w:val="00CD18B6"/>
    <w:rsid w:val="00D1099E"/>
    <w:rsid w:val="00D45FD7"/>
    <w:rsid w:val="00D72F92"/>
    <w:rsid w:val="00D7651B"/>
    <w:rsid w:val="00DC4AEB"/>
    <w:rsid w:val="00DF4AF8"/>
    <w:rsid w:val="00E01351"/>
    <w:rsid w:val="00E024D2"/>
    <w:rsid w:val="00E0497C"/>
    <w:rsid w:val="00E15A2A"/>
    <w:rsid w:val="00E604F4"/>
    <w:rsid w:val="00E73E07"/>
    <w:rsid w:val="00EA14FC"/>
    <w:rsid w:val="00EA6EDF"/>
    <w:rsid w:val="00ED4D25"/>
    <w:rsid w:val="00F045A4"/>
    <w:rsid w:val="00F118A0"/>
    <w:rsid w:val="00F80D89"/>
    <w:rsid w:val="00F84F36"/>
    <w:rsid w:val="00F93F28"/>
    <w:rsid w:val="00F963FA"/>
    <w:rsid w:val="00FB0B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sportal.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FE1E7-3929-4748-A69C-BE48EAE9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1404</Words>
  <Characters>8846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111</cp:revision>
  <dcterms:created xsi:type="dcterms:W3CDTF">2016-01-12T07:19:00Z</dcterms:created>
  <dcterms:modified xsi:type="dcterms:W3CDTF">2016-02-02T09:09:00Z</dcterms:modified>
</cp:coreProperties>
</file>