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Borealis budget 2027</w:t>
      </w:r>
    </w:p>
    <w:p>
      <w:pPr>
        <w:pStyle w:val="Heading2"/>
      </w:pPr>
      <w:r>
        <w:t xml:space="preserve">Budget</w:t>
      </w:r>
    </w:p>
    <w:p>
      <w:r>
        <w:t xml:space="preserve">CANARY-FL-BOREALIS: The approved Borealis budget for 2027 is EUR 800 thousand.</w:t>
      </w:r>
    </w:p>
    <w:p>
      <w:pPr>
        <w:pStyle w:val="Heading2"/>
      </w:pPr>
      <w:r>
        <w:t xml:space="preserve">Contingency</w:t>
      </w:r>
    </w:p>
    <w:p>
      <w:r>
        <w:t xml:space="preserve">Contingency is 8% of the budget.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Borealis budget 2027</dc:title>
  <dc:creator>Synthetic corpus</dc:creator>
  <cp:lastModifiedBy>Un-named</cp:lastModifiedBy>
  <cp:revision>1</cp:revision>
  <dcterms:created xsi:type="dcterms:W3CDTF">2026-10-22T10:26:28.320Z</dcterms:created>
  <dcterms:modified xsi:type="dcterms:W3CDTF">2026-10-22T10:26:28.320Z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