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classification standard</w:t>
      </w:r>
    </w:p>
    <w:p>
      <w:pPr>
        <w:pStyle w:val="Heading2"/>
      </w:pPr>
      <w:r>
        <w:t xml:space="preserve">Levels</w:t>
      </w:r>
    </w:p>
    <w:p>
      <w:r>
        <w:t xml:space="preserve">Data is classified as public, internal, confidential or restricted.</w:t>
      </w:r>
    </w:p>
    <w:p>
      <w:pPr>
        <w:pStyle w:val="Heading2"/>
      </w:pPr>
      <w:r>
        <w:t xml:space="preserve">Restricted data</w:t>
      </w:r>
    </w:p>
    <w:p>
      <w:r>
        <w:t xml:space="preserve">Restricted data may not be stored on personal devices.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classification standard</dc:title>
  <dc:creator>Synthetic corpus</dc:creator>
  <cp:lastModifiedBy>Un-named</cp:lastModifiedBy>
  <cp:revision>1</cp:revision>
  <dcterms:created xsi:type="dcterms:W3CDTF">2026-10-22T10:26:28.293Z</dcterms:created>
  <dcterms:modified xsi:type="dcterms:W3CDTF">2026-10-22T10:26:28.293Z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