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Annual leave policy</w:t>
      </w:r>
    </w:p>
    <w:p>
      <w:pPr>
        <w:pStyle w:val="Heading2"/>
      </w:pPr>
      <w:r>
        <w:t xml:space="preserve">Entitlement</w:t>
      </w:r>
    </w:p>
    <w:p>
      <w:r>
        <w:t xml:space="preserve">Full-time employees receive 25 days of annual leave per calendar year.</w:t>
      </w:r>
    </w:p>
    <w:p>
      <w:pPr>
        <w:pStyle w:val="Heading2"/>
      </w:pPr>
      <w:r>
        <w:t xml:space="preserve">Carry-over</w:t>
      </w:r>
    </w:p>
    <w:p>
      <w:r>
        <w:t xml:space="preserve">Up to five unused days may be carried over to the next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leave policy</dc:title>
  <dc:creator>Synthetic corpus</dc:creator>
  <cp:lastModifiedBy>Un-named</cp:lastModifiedBy>
  <cp:revision>1</cp:revision>
  <dcterms:created xsi:type="dcterms:W3CDTF">2026-10-22T10:26:28.286Z</dcterms:created>
  <dcterms:modified xsi:type="dcterms:W3CDTF">2026-10-22T10:26:28.286Z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