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Wellbeing programme</w:t>
      </w:r>
    </w:p>
    <w:p>
      <w:pPr>
        <w:pStyle w:val="Heading2"/>
      </w:pPr>
      <w:r>
        <w:t xml:space="preserve">Sports</w:t>
      </w:r>
    </w:p>
    <w:p>
      <w:r>
        <w:t xml:space="preserve">The company contributes EUR 30 per month to a gym membership.</w:t>
      </w:r>
    </w:p>
    <w:p>
      <w:pPr>
        <w:pStyle w:val="Heading2"/>
      </w:pPr>
      <w:r>
        <w:t xml:space="preserve">Counselling</w:t>
      </w:r>
    </w:p>
    <w:p>
      <w:r>
        <w:t xml:space="preserve">Six free counselling sessions are available per year.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Wellbeing programme</dc:title>
  <dc:creator>Synthetic corpus</dc:creator>
  <cp:lastModifiedBy>Un-named</cp:lastModifiedBy>
  <cp:revision>1</cp:revision>
  <dcterms:created xsi:type="dcterms:W3CDTF">2026-10-22T10:26:28.309Z</dcterms:created>
  <dcterms:modified xsi:type="dcterms:W3CDTF">2026-10-22T10:26:28.309Z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