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Borealis status report May 2026</w:t>
      </w:r>
    </w:p>
    <w:p>
      <w:pPr>
        <w:pStyle w:val="Heading2"/>
      </w:pPr>
      <w:r>
        <w:t xml:space="preserve">Summary</w:t>
      </w:r>
    </w:p>
    <w:p>
      <w:r>
        <w:t xml:space="preserve">Borealis is the analytics data platform. Overall progress in May 2026 reached 50 percent.</w:t>
      </w:r>
    </w:p>
    <w:p>
      <w:pPr>
        <w:pStyle w:val="Heading2"/>
      </w:pPr>
      <w:r>
        <w:t xml:space="preserve">Main blocker</w:t>
      </w:r>
    </w:p>
    <w:p>
      <w:r>
        <w:t xml:space="preserve">In May 2026 the main blocker for Borealis was schema drift in the billing exports.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Borealis status report May 2026</dc:title>
  <dc:creator>Synthetic corpus</dc:creator>
  <cp:lastModifiedBy>Un-named</cp:lastModifiedBy>
  <cp:revision>1</cp:revision>
  <dcterms:created xsi:type="dcterms:W3CDTF">2026-10-22T10:26:28.060Z</dcterms:created>
  <dcterms:modified xsi:type="dcterms:W3CDTF">2026-10-22T10:26:28.061Z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