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Borealis status report September 2026</w:t>
      </w:r>
    </w:p>
    <w:p>
      <w:pPr>
        <w:pStyle w:val="Heading2"/>
      </w:pPr>
      <w:r>
        <w:t xml:space="preserve">Summary</w:t>
      </w:r>
    </w:p>
    <w:p>
      <w:r>
        <w:t xml:space="preserve">Borealis is the analytics data platform. Overall progress in September 2026 reached 90 percent.</w:t>
      </w:r>
    </w:p>
    <w:p>
      <w:pPr>
        <w:pStyle w:val="Heading2"/>
      </w:pPr>
      <w:r>
        <w:t xml:space="preserve">Main blocker</w:t>
      </w:r>
    </w:p>
    <w:p>
      <w:r>
        <w:t xml:space="preserve">In September 2026 the main blocker for Borealis was capacity planning for the year-end reporting peak.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Borealis status report September 2026</dc:title>
  <dc:creator>Synthetic corpus</dc:creator>
  <cp:lastModifiedBy>Un-named</cp:lastModifiedBy>
  <cp:revision>1</cp:revision>
  <dcterms:created xsi:type="dcterms:W3CDTF">2026-10-22T10:26:28.108Z</dcterms:created>
  <dcterms:modified xsi:type="dcterms:W3CDTF">2026-10-22T10:26:28.108Z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