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steering committee minutes 1</w:t>
      </w:r>
    </w:p>
    <w:p>
      <w:pPr>
        <w:pStyle w:val="Heading2"/>
      </w:pPr>
      <w:r>
        <w:t xml:space="preserve">Attendees</w:t>
      </w:r>
    </w:p>
    <w:p>
      <w:r>
        <w:t xml:space="preserve">The Borealis steering committee met with the vendor Kestrel Systems.</w:t>
      </w:r>
    </w:p>
    <w:p>
      <w:pPr>
        <w:pStyle w:val="Heading2"/>
      </w:pPr>
      <w:r>
        <w:t xml:space="preserve">Decision</w:t>
      </w:r>
    </w:p>
    <w:p>
      <w:r>
        <w:t xml:space="preserve">On data retention, the Borealis steering committee decided to keep raw billing events for 400 days and aggregates for seven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steering committee minutes 1</dc:title>
  <dc:creator>Synthetic corpus</dc:creator>
  <cp:lastModifiedBy>Un-named</cp:lastModifiedBy>
  <cp:revision>1</cp:revision>
  <dcterms:created xsi:type="dcterms:W3CDTF">2026-10-22T10:26:28.116Z</dcterms:created>
  <dcterms:modified xsi:type="dcterms:W3CDTF">2026-10-22T10:26:28.116Z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