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Borealis steering committee minutes 2</w:t>
      </w:r>
    </w:p>
    <w:p>
      <w:pPr>
        <w:pStyle w:val="Heading2"/>
      </w:pPr>
      <w:r>
        <w:t xml:space="preserve">Attendees</w:t>
      </w:r>
    </w:p>
    <w:p>
      <w:r>
        <w:t xml:space="preserve">The Borealis steering committee met with the vendor Kestrel Systems.</w:t>
      </w:r>
    </w:p>
    <w:p>
      <w:pPr>
        <w:pStyle w:val="Heading2"/>
      </w:pPr>
      <w:r>
        <w:t xml:space="preserve">Decision</w:t>
      </w:r>
    </w:p>
    <w:p>
      <w:r>
        <w:t xml:space="preserve">On dashboard tooling, the Borealis steering committee decided to standardise on one dashboard tool and retire the two legacy ones.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Borealis steering committee minutes 2</dc:title>
  <dc:creator>Synthetic corpus</dc:creator>
  <cp:lastModifiedBy>Un-named</cp:lastModifiedBy>
  <cp:revision>1</cp:revision>
  <dcterms:created xsi:type="dcterms:W3CDTF">2026-10-22T10:26:28.123Z</dcterms:created>
  <dcterms:modified xsi:type="dcterms:W3CDTF">2026-10-22T10:26:28.123Z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