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Borealis steering committee minutes 3</w:t>
      </w:r>
    </w:p>
    <w:p>
      <w:pPr>
        <w:pStyle w:val="Heading2"/>
      </w:pPr>
      <w:r>
        <w:t xml:space="preserve">Attendees</w:t>
      </w:r>
    </w:p>
    <w:p>
      <w:r>
        <w:t xml:space="preserve">The Borealis steering committee met with the vendor Kestrel Systems.</w:t>
      </w:r>
    </w:p>
    <w:p>
      <w:pPr>
        <w:pStyle w:val="Heading2"/>
      </w:pPr>
      <w:r>
        <w:t xml:space="preserve">Decision</w:t>
      </w:r>
    </w:p>
    <w:p>
      <w:r>
        <w:t xml:space="preserve">On on-call, the Borealis steering committee decided to move platform on-call from weekly to fortnightly rotations.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Borealis steering committee minutes 3</dc:title>
  <dc:creator>Synthetic corpus</dc:creator>
  <cp:lastModifiedBy>Un-named</cp:lastModifiedBy>
  <cp:revision>1</cp:revision>
  <dcterms:created xsi:type="dcterms:W3CDTF">2026-10-22T10:26:28.130Z</dcterms:created>
  <dcterms:modified xsi:type="dcterms:W3CDTF">2026-10-22T10:26:28.130Z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