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Borealis steering committee minutes 4</w:t>
      </w:r>
    </w:p>
    <w:p>
      <w:pPr>
        <w:pStyle w:val="Heading2"/>
      </w:pPr>
      <w:r>
        <w:t xml:space="preserve">Attendees</w:t>
      </w:r>
    </w:p>
    <w:p>
      <w:r>
        <w:t xml:space="preserve">The Borealis steering committee met with the vendor Kestrel Systems.</w:t>
      </w:r>
    </w:p>
    <w:p>
      <w:pPr>
        <w:pStyle w:val="Heading2"/>
      </w:pPr>
      <w:r>
        <w:t xml:space="preserve">Decision</w:t>
      </w:r>
    </w:p>
    <w:p>
      <w:r>
        <w:t xml:space="preserve">On cost allocation, the Borealis steering committee decided to charge storage costs back to consuming departments from Q1 2027.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Borealis steering committee minutes 4</dc:title>
  <dc:creator>Synthetic corpus</dc:creator>
  <cp:lastModifiedBy>Un-named</cp:lastModifiedBy>
  <cp:revision>1</cp:revision>
  <dcterms:created xsi:type="dcterms:W3CDTF">2026-10-22T10:26:28.138Z</dcterms:created>
  <dcterms:modified xsi:type="dcterms:W3CDTF">2026-10-22T10:26:28.138Z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