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Cedar steering committee minutes 1</w:t>
      </w:r>
    </w:p>
    <w:p>
      <w:pPr>
        <w:pStyle w:val="Heading2"/>
      </w:pPr>
      <w:r>
        <w:t xml:space="preserve">Attendees</w:t>
      </w:r>
    </w:p>
    <w:p>
      <w:r>
        <w:t xml:space="preserve">The Cedar steering committee met with the vendor Lumen Apps.</w:t>
      </w:r>
    </w:p>
    <w:p>
      <w:pPr>
        <w:pStyle w:val="Heading2"/>
      </w:pPr>
      <w:r>
        <w:t xml:space="preserve">Decision</w:t>
      </w:r>
    </w:p>
    <w:p>
      <w:r>
        <w:t xml:space="preserve">On offline mode, the Cedar steering committee decided to support a full offline mode for up to 72 hours.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steering committee minutes 1</dc:title>
  <dc:creator>Synthetic corpus</dc:creator>
  <cp:lastModifiedBy>Un-named</cp:lastModifiedBy>
  <cp:revision>1</cp:revision>
  <dcterms:created xsi:type="dcterms:W3CDTF">2026-10-22T10:26:28.168Z</dcterms:created>
  <dcterms:modified xsi:type="dcterms:W3CDTF">2026-10-22T10:26:28.168Z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