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Dune status report May 2026</w:t>
      </w:r>
    </w:p>
    <w:p>
      <w:pPr>
        <w:pStyle w:val="Heading2"/>
      </w:pPr>
      <w:r>
        <w:t xml:space="preserve">Summary</w:t>
      </w:r>
    </w:p>
    <w:p>
      <w:r>
        <w:t xml:space="preserve">Dune is the warehouse automation programme. Overall progress in May 2026 reached 50 percent.</w:t>
      </w:r>
    </w:p>
    <w:p>
      <w:pPr>
        <w:pStyle w:val="Heading2"/>
      </w:pPr>
      <w:r>
        <w:t xml:space="preserve">Main blocker</w:t>
      </w:r>
    </w:p>
    <w:p>
      <w:r>
        <w:t xml:space="preserve">In May 2026 the main blocker for Dune was Wi-Fi dead zones in aisle 14 to 22.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Dune status report May 2026</dc:title>
  <dc:creator>Synthetic corpus</dc:creator>
  <cp:lastModifiedBy>Un-named</cp:lastModifiedBy>
  <cp:revision>1</cp:revision>
  <dcterms:created xsi:type="dcterms:W3CDTF">2026-10-22T10:26:28.204Z</dcterms:created>
  <dcterms:modified xsi:type="dcterms:W3CDTF">2026-10-22T10:26:28.204Z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