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Dune status report September 2026</w:t>
      </w:r>
    </w:p>
    <w:p>
      <w:pPr>
        <w:pStyle w:val="Heading2"/>
      </w:pPr>
      <w:r>
        <w:t xml:space="preserve">Summary</w:t>
      </w:r>
    </w:p>
    <w:p>
      <w:r>
        <w:t xml:space="preserve">Dune is the warehouse automation programme. Overall progress in September 2026 reached 90 percent.</w:t>
      </w:r>
    </w:p>
    <w:p>
      <w:pPr>
        <w:pStyle w:val="Heading2"/>
      </w:pPr>
      <w:r>
        <w:t xml:space="preserve">Main blocker</w:t>
      </w:r>
    </w:p>
    <w:p>
      <w:r>
        <w:t xml:space="preserve">In September 2026 the main blocker for Dune was a fire inspection of the new charging area.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Dune status report September 2026</dc:title>
  <dc:creator>Synthetic corpus</dc:creator>
  <cp:lastModifiedBy>Un-named</cp:lastModifiedBy>
  <cp:revision>1</cp:revision>
  <dcterms:created xsi:type="dcterms:W3CDTF">2026-10-22T10:26:28.212Z</dcterms:created>
  <dcterms:modified xsi:type="dcterms:W3CDTF">2026-10-22T10:26:28.212Z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