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Dune steering committee minutes 1</w:t>
      </w:r>
    </w:p>
    <w:p>
      <w:pPr>
        <w:pStyle w:val="Heading2"/>
      </w:pPr>
      <w:r>
        <w:t xml:space="preserve">Attendees</w:t>
      </w:r>
    </w:p>
    <w:p>
      <w:r>
        <w:t xml:space="preserve">The Dune steering committee met with the vendor Orbit Robotics.</w:t>
      </w:r>
    </w:p>
    <w:p>
      <w:pPr>
        <w:pStyle w:val="Heading2"/>
      </w:pPr>
      <w:r>
        <w:t xml:space="preserve">Decision</w:t>
      </w:r>
    </w:p>
    <w:p>
      <w:r>
        <w:t xml:space="preserve">On charging, the Dune steering committee decided to install the cart charging area on the mezzanine level.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Dune steering committee minutes 1</dc:title>
  <dc:creator>Synthetic corpus</dc:creator>
  <cp:lastModifiedBy>Un-named</cp:lastModifiedBy>
  <cp:revision>1</cp:revision>
  <dcterms:created xsi:type="dcterms:W3CDTF">2026-10-22T10:26:28.219Z</dcterms:created>
  <dcterms:modified xsi:type="dcterms:W3CDTF">2026-10-22T10:26:28.219Z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