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Dune steering committee minutes 2</w:t>
      </w:r>
    </w:p>
    <w:p>
      <w:pPr>
        <w:pStyle w:val="Heading2"/>
      </w:pPr>
      <w:r>
        <w:t xml:space="preserve">Attendees</w:t>
      </w:r>
    </w:p>
    <w:p>
      <w:r>
        <w:t xml:space="preserve">The Dune steering committee met with the vendor Orbit Robotics.</w:t>
      </w:r>
    </w:p>
    <w:p>
      <w:pPr>
        <w:pStyle w:val="Heading2"/>
      </w:pPr>
      <w:r>
        <w:t xml:space="preserve">Decision</w:t>
      </w:r>
    </w:p>
    <w:p>
      <w:r>
        <w:t xml:space="preserve">On pilot scope, the Dune steering committee decided to limit the pilot to the small-parts zone for the first eight weeks.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Dune steering committee minutes 2</dc:title>
  <dc:creator>Synthetic corpus</dc:creator>
  <cp:lastModifiedBy>Un-named</cp:lastModifiedBy>
  <cp:revision>1</cp:revision>
  <dcterms:created xsi:type="dcterms:W3CDTF">2026-10-22T10:26:28.224Z</dcterms:created>
  <dcterms:modified xsi:type="dcterms:W3CDTF">2026-10-22T10:26:28.224Z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