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steering committee minutes 3</w:t>
      </w:r>
    </w:p>
    <w:p>
      <w:pPr>
        <w:pStyle w:val="Heading2"/>
      </w:pPr>
      <w:r>
        <w:t xml:space="preserve">Attendees</w:t>
      </w:r>
    </w:p>
    <w:p>
      <w:r>
        <w:t xml:space="preserve">The Dune steering committee met with the vendor Orbit Robotics.</w:t>
      </w:r>
    </w:p>
    <w:p>
      <w:pPr>
        <w:pStyle w:val="Heading2"/>
      </w:pPr>
      <w:r>
        <w:t xml:space="preserve">Decision</w:t>
      </w:r>
    </w:p>
    <w:p>
      <w:r>
        <w:t xml:space="preserve">On safety, the Dune steering committee decided to require a human spotter for cart moves near loading docks.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steering committee minutes 3</dc:title>
  <dc:creator>Synthetic corpus</dc:creator>
  <cp:lastModifiedBy>Un-named</cp:lastModifiedBy>
  <cp:revision>1</cp:revision>
  <dcterms:created xsi:type="dcterms:W3CDTF">2026-10-22T10:26:28.230Z</dcterms:created>
  <dcterms:modified xsi:type="dcterms:W3CDTF">2026-10-22T10:26:28.230Z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