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Dune steering committee minutes 4</w:t>
      </w:r>
    </w:p>
    <w:p>
      <w:pPr>
        <w:pStyle w:val="Heading2"/>
      </w:pPr>
      <w:r>
        <w:t xml:space="preserve">Attendees</w:t>
      </w:r>
    </w:p>
    <w:p>
      <w:r>
        <w:t xml:space="preserve">The Dune steering committee met with the vendor Orbit Robotics.</w:t>
      </w:r>
    </w:p>
    <w:p>
      <w:pPr>
        <w:pStyle w:val="Heading2"/>
      </w:pPr>
      <w:r>
        <w:t xml:space="preserve">Decision</w:t>
      </w:r>
    </w:p>
    <w:p>
      <w:r>
        <w:t xml:space="preserve">On maintenance, the Dune steering committee decided to contract on-site vendor maintenance for the first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steering committee minutes 4</dc:title>
  <dc:creator>Synthetic corpus</dc:creator>
  <cp:lastModifiedBy>Un-named</cp:lastModifiedBy>
  <cp:revision>1</cp:revision>
  <dcterms:created xsi:type="dcterms:W3CDTF">2026-10-22T10:26:28.235Z</dcterms:created>
  <dcterms:modified xsi:type="dcterms:W3CDTF">2026-10-22T10:26:28.235Z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