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Ember steering committee minutes 3</w:t>
      </w:r>
    </w:p>
    <w:p>
      <w:pPr>
        <w:pStyle w:val="Heading2"/>
      </w:pPr>
      <w:r>
        <w:t xml:space="preserve">Attendees</w:t>
      </w:r>
    </w:p>
    <w:p>
      <w:r>
        <w:t xml:space="preserve">The Ember steering committee met with the vendor Harbor HR Cloud.</w:t>
      </w:r>
    </w:p>
    <w:p>
      <w:pPr>
        <w:pStyle w:val="Heading2"/>
      </w:pPr>
      <w:r>
        <w:t xml:space="preserve">Decision</w:t>
      </w:r>
    </w:p>
    <w:p>
      <w:r>
        <w:t xml:space="preserve">On mobile access, the Ember steering committee decided to allow mobile access to payslips with step-up authentication.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Ember steering committee minutes 3</dc:title>
  <dc:creator>Synthetic corpus</dc:creator>
  <cp:lastModifiedBy>Un-named</cp:lastModifiedBy>
  <cp:revision>1</cp:revision>
  <dcterms:created xsi:type="dcterms:W3CDTF">2026-10-22T10:26:28.270Z</dcterms:created>
  <dcterms:modified xsi:type="dcterms:W3CDTF">2026-10-22T10:26:28.270Z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