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Ember steering committee minutes 4</w:t>
      </w:r>
    </w:p>
    <w:p>
      <w:pPr>
        <w:pStyle w:val="Heading2"/>
      </w:pPr>
      <w:r>
        <w:t xml:space="preserve">Attendees</w:t>
      </w:r>
    </w:p>
    <w:p>
      <w:r>
        <w:t xml:space="preserve">The Ember steering committee met with the vendor Harbor HR Cloud.</w:t>
      </w:r>
    </w:p>
    <w:p>
      <w:pPr>
        <w:pStyle w:val="Heading2"/>
      </w:pPr>
      <w:r>
        <w:t xml:space="preserve">Decision</w:t>
      </w:r>
    </w:p>
    <w:p>
      <w:r>
        <w:t xml:space="preserve">On support, the Ember steering committee decided to route HR system questions through the shared service desk.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Ember steering committee minutes 4</dc:title>
  <dc:creator>Synthetic corpus</dc:creator>
  <cp:lastModifiedBy>Un-named</cp:lastModifiedBy>
  <cp:revision>1</cp:revision>
  <dcterms:created xsi:type="dcterms:W3CDTF">2026-10-22T10:26:28.275Z</dcterms:created>
  <dcterms:modified xsi:type="dcterms:W3CDTF">2026-10-22T10:26:28.275Z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