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Regime Switching Online Conformal Prediction with Test Martingales</w:t>
      </w:r>
    </w:p>
    <w:p>
      <w:pPr>
        <w:spacing w:after="160"/>
        <w:jc w:val="center"/>
      </w:pPr>
      <w:r>
        <w:rPr>
          <w:rFonts w:ascii="Times New Roman" w:cs="Times New Roman" w:eastAsia="Times New Roman" w:hAnsi="Times New Roman"/>
          <w:sz w:val="23"/>
          <w:szCs w:val="23"/>
        </w:rPr>
        <w:t xml:space="preserve">G. Arul Dalton</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and P. Sankar</w:t>
      </w:r>
      <w:r>
        <w:rPr>
          <w:rFonts w:ascii="Times New Roman" w:cs="Times New Roman" w:eastAsia="Times New Roman" w:hAnsi="Times New Roman"/>
          <w:sz w:val="23"/>
          <w:szCs w:val="23"/>
          <w:vertAlign w:val="superscript"/>
        </w:rPr>
        <w:t xml:space="preserve">2</w:t>
      </w:r>
    </w:p>
    <w:p>
      <w:pPr>
        <w:spacing w:after="60"/>
        <w:jc w:val="center"/>
      </w:pPr>
      <w:r>
        <w:rPr>
          <w:rFonts w:ascii="Times New Roman" w:cs="Times New Roman" w:eastAsia="Times New Roman" w:hAnsi="Times New Roman"/>
          <w:i/>
          <w:iCs/>
          <w:sz w:val="20"/>
          <w:szCs w:val="20"/>
          <w:vertAlign w:val="superscript"/>
        </w:rPr>
        <w:t xml:space="preserve">1</w:t>
      </w:r>
      <w:r>
        <w:rPr>
          <w:rFonts w:ascii="Times New Roman" w:cs="Times New Roman" w:eastAsia="Times New Roman" w:hAnsi="Times New Roman"/>
          <w:i/>
          <w:iCs/>
          <w:sz w:val="20"/>
          <w:szCs w:val="20"/>
        </w:rPr>
        <w:t xml:space="preserve">Department of Computer Science and Engineering, Saveetha Engineering College, Chennai, Tamil Nadu, India. E-mail: aruldalton@saveetha.ac.in</w:t>
      </w:r>
    </w:p>
    <w:p>
      <w:pPr>
        <w:spacing w:after="160"/>
        <w:jc w:val="center"/>
      </w:pPr>
      <w:r>
        <w:rPr>
          <w:rFonts w:ascii="Times New Roman" w:cs="Times New Roman" w:eastAsia="Times New Roman" w:hAnsi="Times New Roman"/>
          <w:i/>
          <w:iCs/>
          <w:sz w:val="20"/>
          <w:szCs w:val="20"/>
          <w:vertAlign w:val="superscript"/>
        </w:rPr>
        <w:t xml:space="preserve">2</w:t>
      </w:r>
      <w:r>
        <w:rPr>
          <w:rFonts w:ascii="Times New Roman" w:cs="Times New Roman" w:eastAsia="Times New Roman" w:hAnsi="Times New Roman"/>
          <w:i/>
          <w:iCs/>
          <w:sz w:val="20"/>
          <w:szCs w:val="20"/>
        </w:rPr>
        <w:t xml:space="preserve">Department of Computer Science and Engineering, Saveetha Engineering College, Chennai, Tamil Nadu, India. E-mail: sankarp@saveetha.ac.in</w:t>
      </w:r>
    </w:p>
    <w:p>
      <w:pPr>
        <w:spacing w:after="6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Corresponding author: G. Arul Dalton, e-mail: aruldalton@saveetha.ac.in</w:t>
      </w:r>
    </w:p>
    <w:p>
      <w:pPr>
        <w:spacing w:after="320"/>
        <w:jc w:val="center"/>
      </w:pPr>
      <w:r>
        <w:rPr>
          <w:rFonts w:ascii="Times New Roman" w:cs="Times New Roman" w:eastAsia="Times New Roman" w:hAnsi="Times New Roman"/>
          <w:sz w:val="20"/>
          <w:szCs w:val="20"/>
        </w:rPr>
        <w:t xml:space="preserve">ORCID: G. Arul Dalton, 0000-0002-5981-7176; P. Sankar, 0009-0008-0986-4493</w:t>
      </w:r>
    </w:p>
    <w:p>
      <w:pPr>
        <w:spacing w:after="160" w:line="280"/>
        <w:jc w:val="both"/>
      </w:pPr>
      <w:r>
        <w:rPr>
          <w:rFonts w:ascii="Times New Roman" w:cs="Times New Roman" w:eastAsia="Times New Roman" w:hAnsi="Times New Roman"/>
          <w:b/>
          <w:bCs/>
          <w:sz w:val="21"/>
          <w:szCs w:val="21"/>
        </w:rPr>
        <w:t xml:space="preserve">Acknowledgements</w:t>
      </w:r>
      <w:r>
        <w:rPr>
          <w:rFonts w:ascii="Times New Roman" w:cs="Times New Roman" w:eastAsia="Times New Roman" w:hAnsi="Times New Roman"/>
          <w:sz w:val="21"/>
          <w:szCs w:val="21"/>
        </w:rPr>
        <w:t xml:space="preserve"> Not applicable.</w:t>
      </w:r>
    </w:p>
    <w:p>
      <w:pPr>
        <w:spacing w:after="160" w:line="280"/>
        <w:jc w:val="both"/>
      </w:pPr>
      <w:r>
        <w:rPr>
          <w:rFonts w:ascii="Times New Roman" w:cs="Times New Roman" w:eastAsia="Times New Roman" w:hAnsi="Times New Roman"/>
          <w:b/>
          <w:bCs/>
          <w:sz w:val="21"/>
          <w:szCs w:val="21"/>
        </w:rPr>
        <w:t xml:space="preserve">Author contributions</w:t>
      </w:r>
      <w:r>
        <w:rPr>
          <w:rFonts w:ascii="Times New Roman" w:cs="Times New Roman" w:eastAsia="Times New Roman" w:hAnsi="Times New Roman"/>
          <w:sz w:val="21"/>
          <w:szCs w:val="21"/>
        </w:rPr>
        <w:t xml:space="preserve"> Conceptualization: G. Arul Dalton; Methodology: G. Arul Dalton; Software: G. Arul Dalton; Formal analysis and investigation: G. Arul Dalton, P. Sankar; Validation: P. Sankar; Visualization: P. Sankar; Writing – original draft preparation: G. Arul Dalton; Writing – review and editing: P. Sankar, G. Arul Dalton; Supervision: G. Arul Dalton. All authors read and approved the final manuscript.</w:t>
      </w:r>
    </w:p>
    <w:p>
      <w:pPr>
        <w:spacing w:after="160" w:line="280"/>
        <w:jc w:val="both"/>
      </w:pPr>
      <w:r>
        <w:rPr>
          <w:rFonts w:ascii="Times New Roman" w:cs="Times New Roman" w:eastAsia="Times New Roman" w:hAnsi="Times New Roman"/>
          <w:b/>
          <w:bCs/>
          <w:sz w:val="21"/>
          <w:szCs w:val="21"/>
        </w:rPr>
        <w:t xml:space="preserve">Funding</w:t>
      </w:r>
      <w:r>
        <w:rPr>
          <w:rFonts w:ascii="Times New Roman" w:cs="Times New Roman" w:eastAsia="Times New Roman" w:hAnsi="Times New Roman"/>
          <w:sz w:val="21"/>
          <w:szCs w:val="21"/>
        </w:rPr>
        <w:t xml:space="preserve"> The authors did not receive support from any organization for the submitted work.</w:t>
      </w:r>
    </w:p>
    <w:p>
      <w:pPr>
        <w:spacing w:after="160" w:line="280"/>
        <w:jc w:val="both"/>
      </w:pPr>
      <w:r>
        <w:rPr>
          <w:rFonts w:ascii="Times New Roman" w:cs="Times New Roman" w:eastAsia="Times New Roman" w:hAnsi="Times New Roman"/>
          <w:b/>
          <w:bCs/>
          <w:sz w:val="21"/>
          <w:szCs w:val="21"/>
        </w:rPr>
        <w:t xml:space="preserve">Competing interests</w:t>
      </w:r>
      <w:r>
        <w:rPr>
          <w:rFonts w:ascii="Times New Roman" w:cs="Times New Roman" w:eastAsia="Times New Roman" w:hAnsi="Times New Roman"/>
          <w:sz w:val="21"/>
          <w:szCs w:val="21"/>
        </w:rPr>
        <w:t xml:space="preserve"> The authors have no competing interests to declare that are relevant to the content of this article.</w:t>
      </w:r>
    </w:p>
    <w:p>
      <w:r>
        <w:br w:type="page"/>
      </w:r>
    </w:p>
    <w:p>
      <w:pPr>
        <w:spacing w:after="240"/>
        <w:jc w:val="center"/>
      </w:pPr>
      <w:r>
        <w:rPr>
          <w:rFonts w:ascii="Times New Roman" w:cs="Times New Roman" w:eastAsia="Times New Roman" w:hAnsi="Times New Roman"/>
          <w:b/>
          <w:bCs/>
          <w:sz w:val="28"/>
          <w:szCs w:val="28"/>
        </w:rPr>
        <w:t xml:space="preserve">Regime Switching Online Conformal Prediction with Test Martingales</w:t>
      </w:r>
    </w:p>
    <w:p>
      <w:pPr>
        <w:spacing w:after="80"/>
      </w:pPr>
      <w:r>
        <w:rPr>
          <w:rFonts w:ascii="Times New Roman" w:cs="Times New Roman" w:eastAsia="Times New Roman" w:hAnsi="Times New Roman"/>
          <w:b/>
          <w:bCs/>
          <w:sz w:val="22"/>
          <w:szCs w:val="22"/>
        </w:rPr>
        <w:t xml:space="preserve">Abstract</w:t>
      </w:r>
    </w:p>
    <w:p>
      <w:pPr>
        <w:spacing w:after="120" w:line="300"/>
        <w:jc w:val="both"/>
      </w:pPr>
      <w:r>
        <w:rPr>
          <w:rFonts w:ascii="Times New Roman" w:cs="Times New Roman" w:eastAsia="Times New Roman" w:hAnsi="Times New Roman"/>
        </w:rPr>
        <w:t xml:space="preserve">Online conformal prediction methods, such as adaptive conformal inference, maintain long-run coverage under distribution shift by adjusting a miscoverage level or threshold after every observation. Because these updates are local and blind to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the data-generating process changes, they recover slowly from abrupt regime switches and keep intervals inflated after a stream becomes easier. We propose Martingale-triggered Adaptive Regime-Switching Conformal Prediction (MARS-CP), a plug-in wrapper that gives any online conformal updater an explicit, statistically controlled notion of regime. MARS-CP converts each new nonconformity score into a conformal p-value against the current regime, monitors these p-values with a two-sided conformal test martingale, and raises an alarm only when the martingale exceeds 1/δ, so that the probability of any false alarm on an exchangeable stream is at most δ. On an alarm, the change point is localised, the calibration buffer is rebuilt from post-change scores, and the inner updater is re-initialised. We prove anytime false-alarm control and a long-run coverage bound that degrades gracefully with the number of re-initialisations. On four synthetic scenarios and four public real-world streams, wrapping adaptive conformal inference reduces local coverage error by 29% and under-coverage time by 57% on recurring abrupt shifts, and narrows intervals by 22% on an industrial sensor stream at matched coverage. Gains for faster updaters are smaller and appear mainly in interval width. Under slow gradual drift the method triggers unnecessary resets and local coverage error increases by 4–12%, which we report as its main limitation.</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Conformal prediction · Distribution shift · Concept drift · Test martingales · Change-point detection · Uncertainty quantification</w:t>
      </w:r>
    </w:p>
    <w:p>
      <w:pPr>
        <w:pStyle w:val="Heading1"/>
        <w:spacing w:after="140" w:before="280"/>
      </w:pPr>
      <w:r>
        <w:rPr>
          <w:rFonts w:ascii="Times New Roman" w:cs="Times New Roman" w:eastAsia="Times New Roman" w:hAnsi="Times New Roman"/>
        </w:rPr>
        <w:t xml:space="preserve">1 Introduction</w:t>
      </w:r>
    </w:p>
    <w:p>
      <w:pPr>
        <w:spacing w:after="120" w:line="300"/>
        <w:jc w:val="both"/>
      </w:pPr>
      <w:r>
        <w:rPr>
          <w:rFonts w:ascii="Times New Roman" w:cs="Times New Roman" w:eastAsia="Times New Roman" w:hAnsi="Times New Roman"/>
        </w:rPr>
        <w:t xml:space="preserve">Machine-learning forecasters are increasingly deployed in settings where a point prediction is not enough: grid operators schedule reserves against demand forecasts, maintenance systems act on predicted sensor trajectories and on fault indicators extracted from streaming sensor data (Kavitha et al., 2022), and clinical monitors raise alerts from predicted vital signs. In each case the downstream decision depends on a calibrated statement of uncertainty, and the distinction between reducible and irreducible uncertainty matters for how such statements are used (Hüllermeier &amp; Waegeman, 2021). Conformal prediction (CP) offers distribution-free uncertainty statements (Angelopoulos &amp; Bates, 2023; Shafer &amp; Vovk, 2008; Vovk et al., 2005): given a black-box predictor and a nonconformity score, split CP returns prediction sets whose marginal coverage is at least 1 − α whenever calibration and test data are exchangeable (Lei et al., 2018).</w:t>
      </w:r>
    </w:p>
    <w:p>
      <w:pPr>
        <w:spacing w:after="120" w:line="300"/>
        <w:jc w:val="both"/>
      </w:pPr>
      <w:r>
        <w:rPr>
          <w:rFonts w:ascii="Times New Roman" w:cs="Times New Roman" w:eastAsia="Times New Roman" w:hAnsi="Times New Roman"/>
        </w:rPr>
        <w:t xml:space="preserve">Streaming data rarely satisfy exchangeability. Demand shifts with holidays and tariffs, industrial sensors switch between operating modes, and weather follows seasonal regimes. A growing line of work therefore replaces exchangeability by online adaptation. Adaptive conformal inference (ACI) (Gibbs &amp; Candès, 2021) updates the working miscoverage level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by a gradient step on the coverage error, guaranteeing that long-run coverage converges to 1 − α for </w:t>
      </w:r>
      <w:r>
        <w:rPr>
          <w:rFonts w:ascii="Times New Roman" w:cs="Times New Roman" w:eastAsia="Times New Roman" w:hAnsi="Times New Roman"/>
          <w:i/>
          <w:iCs/>
        </w:rPr>
        <w:t xml:space="preserve">arbitrary</w:t>
      </w:r>
      <w:r>
        <w:rPr>
          <w:rFonts w:ascii="Times New Roman" w:cs="Times New Roman" w:eastAsia="Times New Roman" w:hAnsi="Times New Roman"/>
        </w:rPr>
        <w:t xml:space="preserve"> sequences. Its successors tune the step size automatically (DtACI) (Gibbs &amp; Candès, 2024), aggregate experts over step sizes (AgACI) (Zaffran et al., 2022), obtain strongly adaptive regret (SAOCP) (Bhatnagar et al., 2023), or track the score quantile directly with control-theoretic updates (conformal PID / quantile tracking) (Angelopoulos et al., 2023). Recent work accelerates adaptation by retrospectively refitting past predictions (Jun &amp; Ohn, 2026) or by conditioning on the predicted latent state of a switching dynamical system (Sun &amp; Yu, 2025).</w:t>
      </w:r>
    </w:p>
    <w:p>
      <w:pPr>
        <w:spacing w:after="120" w:line="300"/>
        <w:jc w:val="both"/>
      </w:pPr>
      <w:r>
        <w:rPr>
          <w:rFonts w:ascii="Times New Roman" w:cs="Times New Roman" w:eastAsia="Times New Roman" w:hAnsi="Times New Roman"/>
        </w:rPr>
        <w:t xml:space="preserve">These methods share a structural feature: they react to shift </w:t>
      </w:r>
      <w:r>
        <w:rPr>
          <w:rFonts w:ascii="Times New Roman" w:cs="Times New Roman" w:eastAsia="Times New Roman" w:hAnsi="Times New Roman"/>
          <w:i/>
          <w:iCs/>
        </w:rPr>
        <w:t xml:space="preserve">implicitly</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locally</w:t>
      </w:r>
      <w:r>
        <w:rPr>
          <w:rFonts w:ascii="Times New Roman" w:cs="Times New Roman" w:eastAsia="Times New Roman" w:hAnsi="Times New Roman"/>
        </w:rPr>
        <w:t xml:space="preserve">, one observation at a time. After an abrupt switch, the calibration window still contains hundreds of scores from the previous regime; the updater must accumulate enough coverage errors to push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(or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to the new level, and during this period coverage collapses. The reverse problem is equally important but rarely discussed: when a stream becomes </w:t>
      </w:r>
      <w:r>
        <w:rPr>
          <w:rFonts w:ascii="Times New Roman" w:cs="Times New Roman" w:eastAsia="Times New Roman" w:hAnsi="Times New Roman"/>
          <w:i/>
          <w:iCs/>
        </w:rPr>
        <w:t xml:space="preserve">easier</w:t>
      </w:r>
      <w:r>
        <w:rPr>
          <w:rFonts w:ascii="Times New Roman" w:cs="Times New Roman" w:eastAsia="Times New Roman" w:hAnsi="Times New Roman"/>
        </w:rPr>
        <w:t xml:space="preserve"> (for example, a noisy machine returns to its normal mode), stale high scores keep intervals unnecessarily wide, and coverage-driven updates, which respond to errors, provide only weak pressure to shrink them. Meanwhile, a separate literature on conformal test martingales (Prinster et al., 2025; Volkhonskiy et al., 2017; Vovk, 2021; Vovk et al., 2021) provides principled, anytime-valid detection of departures from exchangeability, but leaves the response to an alarm, such as recalibrating or retraining, as a separate design choice (Vovk et al., 2021).</w:t>
      </w:r>
    </w:p>
    <w:p>
      <w:pPr>
        <w:spacing w:after="120" w:line="300"/>
        <w:jc w:val="both"/>
      </w:pPr>
      <w:r>
        <w:rPr>
          <w:rFonts w:ascii="Times New Roman" w:cs="Times New Roman" w:eastAsia="Times New Roman" w:hAnsi="Times New Roman"/>
        </w:rPr>
        <w:t xml:space="preserve">This paper connects the two lines. We ask: </w:t>
      </w:r>
      <w:r>
        <w:rPr>
          <w:rFonts w:ascii="Times New Roman" w:cs="Times New Roman" w:eastAsia="Times New Roman" w:hAnsi="Times New Roman"/>
          <w:i/>
          <w:iCs/>
        </w:rPr>
        <w:t xml:space="preserve">can an online conformal method use statistically controlled change detection to decide when its calibration history has become obsolete, and rebuild it immediately, while inheriting the long-run guarantees of existing updaters?</w:t>
      </w:r>
      <w:r>
        <w:rPr>
          <w:rFonts w:ascii="Times New Roman" w:cs="Times New Roman" w:eastAsia="Times New Roman" w:hAnsi="Times New Roman"/>
        </w:rPr>
        <w:t xml:space="preserve"> Our answer is MARS-CP, a lightweight wrapper around any online CP updater. Its design principle is conservative: on an exchangeable stream it should behave exactly like the updater it wraps, and it should intervene only when there is evidence, quantified by a test martingale with a user-chosen false-alarm budget δ, that the score distribution has changed in either direction.</w:t>
      </w:r>
    </w:p>
    <w:p>
      <w:pPr>
        <w:spacing w:after="120" w:line="300"/>
        <w:jc w:val="both"/>
      </w:pPr>
      <w:r>
        <w:rPr>
          <w:rFonts w:ascii="Times New Roman" w:cs="Times New Roman" w:eastAsia="Times New Roman" w:hAnsi="Times New Roman"/>
        </w:rPr>
        <w:t xml:space="preserve">The main contributions are:</w:t>
      </w:r>
    </w:p>
    <w:p>
      <w:pPr>
        <w:pStyle w:val="ListParagraph"/>
        <w:numPr>
          <w:ilvl w:val="0"/>
          <w:numId w:val="2"/>
        </w:numPr>
        <w:spacing w:after="80" w:line="290"/>
        <w:jc w:val="both"/>
      </w:pPr>
      <w:r>
        <w:rPr>
          <w:rFonts w:ascii="Times New Roman" w:cs="Times New Roman" w:eastAsia="Times New Roman" w:hAnsi="Times New Roman"/>
          <w:b/>
          <w:bCs/>
        </w:rPr>
        <w:t xml:space="preserve">A regime-switching wrapper for online CP.</w:t>
      </w:r>
      <w:r>
        <w:rPr>
          <w:rFonts w:ascii="Times New Roman" w:cs="Times New Roman" w:eastAsia="Times New Roman" w:hAnsi="Times New Roman"/>
        </w:rPr>
        <w:t xml:space="preserve"> MARS-CP monitors regime-conditional conformal p-values of the nonconformity scores with a </w:t>
      </w:r>
      <w:r>
        <w:rPr>
          <w:rFonts w:ascii="Times New Roman" w:cs="Times New Roman" w:eastAsia="Times New Roman" w:hAnsi="Times New Roman"/>
          <w:i/>
          <w:iCs/>
        </w:rPr>
        <w:t xml:space="preserve">two-sided</w:t>
      </w:r>
      <w:r>
        <w:rPr>
          <w:rFonts w:ascii="Times New Roman" w:cs="Times New Roman" w:eastAsia="Times New Roman" w:hAnsi="Times New Roman"/>
        </w:rPr>
        <w:t xml:space="preserve"> simple-jumper test martingale, localises the change point at the minimum of the log-martingale path, rebuilds the calibration buffer from post-change scores with a conservative bridge, and re-initialises the inner updater. It wraps ACI, quantile tracking (QT) and DtACI without modification (Sect. 4, Algorithms 1–3).</w:t>
      </w:r>
    </w:p>
    <w:p>
      <w:pPr>
        <w:pStyle w:val="ListParagraph"/>
        <w:numPr>
          <w:ilvl w:val="0"/>
          <w:numId w:val="2"/>
        </w:numPr>
        <w:spacing w:after="80" w:line="290"/>
        <w:jc w:val="both"/>
      </w:pPr>
      <w:r>
        <w:rPr>
          <w:rFonts w:ascii="Times New Roman" w:cs="Times New Roman" w:eastAsia="Times New Roman" w:hAnsi="Times New Roman"/>
          <w:b/>
          <w:bCs/>
        </w:rPr>
        <w:t xml:space="preserve">Guarantees.</w:t>
      </w:r>
      <w:r>
        <w:rPr>
          <w:rFonts w:ascii="Times New Roman" w:cs="Times New Roman" w:eastAsia="Times New Roman" w:hAnsi="Times New Roman"/>
        </w:rPr>
        <w:t xml:space="preserve"> We prove that the probability of any false alarm on an exchangeable score stream is at most δ, that MARS-CP then coincides with its inner updater, and that for the ACI inner updater the long-run miscoverage deviates from α by at most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+1)(1+(1+n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)γ)/(γT), where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the number of re-initialisations (Sect. 5).</w:t>
      </w:r>
    </w:p>
    <w:p>
      <w:pPr>
        <w:pStyle w:val="ListParagraph"/>
        <w:numPr>
          <w:ilvl w:val="0"/>
          <w:numId w:val="2"/>
        </w:numPr>
        <w:spacing w:after="80" w:line="290"/>
        <w:jc w:val="both"/>
      </w:pPr>
      <w:r>
        <w:rPr>
          <w:rFonts w:ascii="Times New Roman" w:cs="Times New Roman" w:eastAsia="Times New Roman" w:hAnsi="Times New Roman"/>
          <w:b/>
          <w:bCs/>
        </w:rPr>
        <w:t xml:space="preserve">A reproducible empirical study.</w:t>
      </w:r>
      <w:r>
        <w:rPr>
          <w:rFonts w:ascii="Times New Roman" w:cs="Times New Roman" w:eastAsia="Times New Roman" w:hAnsi="Times New Roman"/>
        </w:rPr>
        <w:t xml:space="preserve"> On four synthetic scenarios and four public real-world streams, with hyperparameters fixed on held-out validation seeds, we compare against split CP, rolling CP, ACI, QT and DtACI, with paired Wilcoxon tests, ablations, change-detection statistics, and sensitivity to δ, α and window size (Sects. 6 and 7).</w:t>
      </w:r>
    </w:p>
    <w:p>
      <w:pPr>
        <w:pStyle w:val="ListParagraph"/>
        <w:numPr>
          <w:ilvl w:val="0"/>
          <w:numId w:val="2"/>
        </w:numPr>
        <w:spacing w:after="80" w:line="290"/>
        <w:jc w:val="both"/>
      </w:pPr>
      <w:r>
        <w:rPr>
          <w:rFonts w:ascii="Times New Roman" w:cs="Times New Roman" w:eastAsia="Times New Roman" w:hAnsi="Times New Roman"/>
          <w:b/>
          <w:bCs/>
        </w:rPr>
        <w:t xml:space="preserve">An honest account of failure modes.</w:t>
      </w:r>
      <w:r>
        <w:rPr>
          <w:rFonts w:ascii="Times New Roman" w:cs="Times New Roman" w:eastAsia="Times New Roman" w:hAnsi="Times New Roman"/>
        </w:rPr>
        <w:t xml:space="preserve"> We identify the regimes where the approach helps (abrupt and recurring shifts, and easing shifts that stale scores would otherwise inflate), where it hurts (slow gradual drift), and a component that does not deliver measurable benefit (regime memory), giving practitioners concrete guidance (Sect. 8).</w:t>
      </w:r>
    </w:p>
    <w:p>
      <w:pPr>
        <w:spacing w:after="120" w:line="300"/>
        <w:jc w:val="both"/>
      </w:pPr>
      <w:r>
        <w:rPr>
          <w:rFonts w:ascii="Times New Roman" w:cs="Times New Roman" w:eastAsia="Times New Roman" w:hAnsi="Times New Roman"/>
          <w:b/>
          <w:bCs/>
        </w:rPr>
        <w:t xml:space="preserve">Main claim and relation to prior work.</w:t>
      </w:r>
      <w:r>
        <w:rPr>
          <w:rFonts w:ascii="Times New Roman" w:cs="Times New Roman" w:eastAsia="Times New Roman" w:hAnsi="Times New Roman"/>
        </w:rPr>
        <w:t xml:space="preserve"> Our central claim is that deciding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the calibration history of an online conformal predictor is obsolete, with anytime false-alarm control, is a useful complement to research on </w:t>
      </w:r>
      <w:r>
        <w:rPr>
          <w:rFonts w:ascii="Times New Roman" w:cs="Times New Roman" w:eastAsia="Times New Roman" w:hAnsi="Times New Roman"/>
          <w:i/>
          <w:iCs/>
        </w:rPr>
        <w:t xml:space="preserve">how much</w:t>
      </w:r>
      <w:r>
        <w:rPr>
          <w:rFonts w:ascii="Times New Roman" w:cs="Times New Roman" w:eastAsia="Times New Roman" w:hAnsi="Times New Roman"/>
        </w:rPr>
        <w:t xml:space="preserve"> to adapt after each observation. The closest works either adapt implicitly (Angelopoulos et al., 2023; Bhatnagar et al., 2023; Gibbs &amp; Candès, 2021, 2024; Zaffran et al., 2022), require specific model classes (Jun &amp; Ohn, 2026; Sun &amp; Yu, 2025), or study detection and monitoring without specifying an interval-construction response (Leong, 2026; Prinster et al., 2025; Vovk et al., 2021). No part of this work has been published previously or submitted elsewhere.</w:t>
      </w:r>
    </w:p>
    <w:p>
      <w:pPr>
        <w:spacing w:after="120" w:line="300"/>
        <w:jc w:val="both"/>
      </w:pPr>
      <w:r>
        <w:rPr>
          <w:rFonts w:ascii="Times New Roman" w:cs="Times New Roman" w:eastAsia="Times New Roman" w:hAnsi="Times New Roman"/>
        </w:rPr>
        <w:t xml:space="preserve">The remainder of the paper is organised as follows. Section 2 reviews related work and Section 3 formalises the problem. Section 4 presents MARS-CP and Section 5 its theoretical properties. Sections 6 and 7 describe the experimental protocol and results, Section 8 discusses implications and limitations, and Section 9 concludes.</w:t>
      </w:r>
    </w:p>
    <w:p>
      <w:pPr>
        <w:pStyle w:val="Heading1"/>
        <w:spacing w:after="140" w:before="280"/>
      </w:pPr>
      <w:r>
        <w:rPr>
          <w:rFonts w:ascii="Times New Roman" w:cs="Times New Roman" w:eastAsia="Times New Roman" w:hAnsi="Times New Roman"/>
        </w:rPr>
        <w:t xml:space="preserve">2 Related Work</w:t>
      </w:r>
    </w:p>
    <w:p>
      <w:pPr>
        <w:pStyle w:val="Heading2"/>
        <w:spacing w:after="100" w:before="200"/>
      </w:pPr>
      <w:r>
        <w:rPr>
          <w:rFonts w:ascii="Times New Roman" w:cs="Times New Roman" w:eastAsia="Times New Roman" w:hAnsi="Times New Roman"/>
        </w:rPr>
        <w:t xml:space="preserve">2.1 Conformal prediction beyond exchangeability</w:t>
      </w:r>
    </w:p>
    <w:p>
      <w:pPr>
        <w:spacing w:after="120" w:line="300"/>
        <w:jc w:val="both"/>
      </w:pPr>
      <w:r>
        <w:rPr>
          <w:rFonts w:ascii="Times New Roman" w:cs="Times New Roman" w:eastAsia="Times New Roman" w:hAnsi="Times New Roman"/>
        </w:rPr>
        <w:t xml:space="preserve">Classical CP (Shafer &amp; Vovk, 2008; Vovk et al., 2005) and its split variant (Lei et al., 2018) guarantee finite-sample marginal coverage under exchangeability; a comprehensive introduction is given by Angelopoulos and Bates (2023). Conditional validity is attainable only in restricted senses, such as label- or object-conditional coverage for inductive conformal predictors (Vovk, 2013), which is one reason why marginal and long-run guarantees dominate the online literature. Several offline extensions relax exchangeability. Weighted CP corrects for known or estimated covariate shift through likelihood-ratio weights (Tibshirani et al., 2019), and label-shift corrections exist for classification (Podkopaev &amp; Ramdas, 2021). Barber et al. (2023) bound the coverage gap in terms of the total-variation distance between reweighted calibration points and the test point, which motivates down-weighting old data in drifting streams. These methods require either knowledge of the shift type or a weighting scheme fixed in advance; none decides online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the past has become irrelevant.</w:t>
      </w:r>
    </w:p>
    <w:p>
      <w:pPr>
        <w:pStyle w:val="Heading2"/>
        <w:spacing w:after="100" w:before="200"/>
      </w:pPr>
      <w:r>
        <w:rPr>
          <w:rFonts w:ascii="Times New Roman" w:cs="Times New Roman" w:eastAsia="Times New Roman" w:hAnsi="Times New Roman"/>
        </w:rPr>
        <w:t xml:space="preserve">2.2 Online adaptive conformal inference</w:t>
      </w:r>
    </w:p>
    <w:p>
      <w:pPr>
        <w:spacing w:after="120" w:line="300"/>
        <w:jc w:val="both"/>
      </w:pPr>
      <w:r>
        <w:rPr>
          <w:rFonts w:ascii="Times New Roman" w:cs="Times New Roman" w:eastAsia="Times New Roman" w:hAnsi="Times New Roman"/>
        </w:rPr>
        <w:t xml:space="preserve">ACI (Gibbs &amp; Candès, 2021) treats the miscoverage level as a parameter of an online learner and updates α</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γ(α −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this yields a deterministic long-run coverage bound for arbitrary data but requires choosing γ, which trades adaptation speed against volatility. DtACI (Gibbs &amp; Candès, 2024) runs ACI experts over a grid of step sizes and aggregates them by exponential weights, with regret guarantees over local intervals. AgACI (Zaffran et al., 2022) aggregates experts with online expert-aggregation rules, and SAOCP (Bhatnagar et al., 2023) attains strongly adaptive regret with scale-free online gradient descent. Conformal PID control (Angelopoulos et al., 2023) updates the score quantile directly (the quantile tracker, QT), optionally adding integral and ‘scorecasting’ terms. For time series, EnbPI (Xu &amp; Xie, 2021) and SPCI (Xu &amp; Xie, 2023) use bootstrap ensembles and residual-quantile regression respectively. RetroAdj (Jun &amp; Ohn, 2026) retrospectively updates past predictions through leave-one-out formulas, which accelerates adaptation but requires regression models with efficient leave-one-out updates. CPTC (Sun &amp; Yu, 2025) conditions intervals on the predicted state of a switching dynamical system, which requires a state-space forecaster. MARS-CP is complementary: it keeps the base predictor a black box and wraps any of the updaters above.</w:t>
      </w:r>
    </w:p>
    <w:p>
      <w:pPr>
        <w:pStyle w:val="Heading2"/>
        <w:spacing w:after="100" w:before="200"/>
      </w:pPr>
      <w:r>
        <w:rPr>
          <w:rFonts w:ascii="Times New Roman" w:cs="Times New Roman" w:eastAsia="Times New Roman" w:hAnsi="Times New Roman"/>
        </w:rPr>
        <w:t xml:space="preserve">2.3 Change detection with conformal test martingales</w:t>
      </w:r>
    </w:p>
    <w:p>
      <w:pPr>
        <w:spacing w:after="120" w:line="300"/>
        <w:jc w:val="both"/>
      </w:pPr>
      <w:r>
        <w:rPr>
          <w:rFonts w:ascii="Times New Roman" w:cs="Times New Roman" w:eastAsia="Times New Roman" w:hAnsi="Times New Roman"/>
        </w:rPr>
        <w:t xml:space="preserve">Classical sequential change detection includes CUSUM (Page, 1954) and Bayesian online change-point detection (Adams &amp; MacKay, 2007). Conformal test martingales (Volkhonskiy et al., 2017; Vovk, 2021) turn conformal p-values, which are independent and uniform under exchangeability, into nonnegative martingales whose growth is evidence against exchangeability; Ville’s inequality (Ville, 1939) then controls the false-alarm probability uniformly over time. Vovk et al. (2021) used such martingales to decide when to retrain a predictor, and WATCH (Prinster et al., 2025) generalised them to weighted conformal martingales that adapt to mild covariate shift and diagnose severe shifts. Concurrently, Leong (2026) couples a sliding-window Kolmogorov–Smirnov detector, whose alarm threshold is calibrated empirically rather than through an anytime guarantee, with a weighted conformal layer for deployed safety classifiers. These works focus on detection and monitoring; MARS-CP instead uses a test martingale as the trigger inside an online </w:t>
      </w:r>
      <w:r>
        <w:rPr>
          <w:rFonts w:ascii="Times New Roman" w:cs="Times New Roman" w:eastAsia="Times New Roman" w:hAnsi="Times New Roman"/>
          <w:i/>
          <w:iCs/>
        </w:rPr>
        <w:t xml:space="preserve">interval-construction</w:t>
      </w:r>
      <w:r>
        <w:rPr>
          <w:rFonts w:ascii="Times New Roman" w:cs="Times New Roman" w:eastAsia="Times New Roman" w:hAnsi="Times New Roman"/>
        </w:rPr>
        <w:t xml:space="preserve"> procedure and specifies the response (localisation, buffer reconstruction, updater re-initialisation and optional regime recall).</w:t>
      </w:r>
    </w:p>
    <w:p>
      <w:pPr>
        <w:pStyle w:val="Heading2"/>
        <w:spacing w:after="100" w:before="200"/>
      </w:pPr>
      <w:r>
        <w:rPr>
          <w:rFonts w:ascii="Times New Roman" w:cs="Times New Roman" w:eastAsia="Times New Roman" w:hAnsi="Times New Roman"/>
        </w:rPr>
        <w:t xml:space="preserve">2.4 Concept-drift adaptation</w:t>
      </w:r>
    </w:p>
    <w:p>
      <w:pPr>
        <w:spacing w:after="120" w:line="300"/>
        <w:jc w:val="both"/>
      </w:pPr>
      <w:r>
        <w:rPr>
          <w:rFonts w:ascii="Times New Roman" w:cs="Times New Roman" w:eastAsia="Times New Roman" w:hAnsi="Times New Roman"/>
        </w:rPr>
        <w:t xml:space="preserve">The data-stream literature has long studied concept drift through detectors such as ADWIN (Bifet &amp; Gavaldà, 2007) and adaptive ensembles; see the surveys by Gama et al. (2014) and Lu et al. (2019). Related work on sensor and time-series streams has addressed rotor fault detection from streaming magnetoresistance sensor data (Kavitha et al., 2022) and efficient pattern matching for uncertain time series through optimal sampling and dimensionality reduction (Dinakaran et al., 2020). These methods adapt the </w:t>
      </w:r>
      <w:r>
        <w:rPr>
          <w:rFonts w:ascii="Times New Roman" w:cs="Times New Roman" w:eastAsia="Times New Roman" w:hAnsi="Times New Roman"/>
          <w:i/>
          <w:iCs/>
        </w:rPr>
        <w:t xml:space="preserve">predictor</w:t>
      </w:r>
      <w:r>
        <w:rPr>
          <w:rFonts w:ascii="Times New Roman" w:cs="Times New Roman" w:eastAsia="Times New Roman" w:hAnsi="Times New Roman"/>
        </w:rPr>
        <w:t xml:space="preserve"> or process uncertain signals, but they generally do not produce calibrated, distribution-free prediction intervals. MARS-CP adapts the </w:t>
      </w:r>
      <w:r>
        <w:rPr>
          <w:rFonts w:ascii="Times New Roman" w:cs="Times New Roman" w:eastAsia="Times New Roman" w:hAnsi="Times New Roman"/>
          <w:i/>
          <w:iCs/>
        </w:rPr>
        <w:t xml:space="preserve">uncertainty layer</w:t>
      </w:r>
      <w:r>
        <w:rPr>
          <w:rFonts w:ascii="Times New Roman" w:cs="Times New Roman" w:eastAsia="Times New Roman" w:hAnsi="Times New Roman"/>
        </w:rPr>
        <w:t xml:space="preserve"> and is agnostic to how, or whether, the predictor itself is updated. Table 1 summarises the positioning.</w:t>
      </w:r>
    </w:p>
    <w:p>
      <w:pPr>
        <w:keepNext/>
        <w:spacing w:after="60" w:before="160"/>
      </w:pPr>
      <w:r>
        <w:rPr>
          <w:rFonts w:ascii="Times New Roman" w:cs="Times New Roman" w:eastAsia="Times New Roman" w:hAnsi="Times New Roman"/>
          <w:b/>
          <w:bCs/>
          <w:sz w:val="19"/>
          <w:szCs w:val="19"/>
        </w:rPr>
        <w:t xml:space="preserve">Table 1</w:t>
      </w:r>
      <w:r>
        <w:rPr>
          <w:rFonts w:ascii="Times New Roman" w:cs="Times New Roman" w:eastAsia="Times New Roman" w:hAnsi="Times New Roman"/>
          <w:sz w:val="19"/>
          <w:szCs w:val="19"/>
        </w:rPr>
        <w:t xml:space="preserve"> Positioning of MARS-CP relative to representative conformal methods for non-exchangeable data (✓ supported, ✗ not supported, — not applicable). The comparison reflects the primary design of each method as described in its original publication</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2400"/>
        <w:gridCol w:w="1200"/>
        <w:gridCol w:w="1300"/>
        <w:gridCol w:w="1300"/>
        <w:gridCol w:w="1400"/>
        <w:gridCol w:w="1426"/>
      </w:tblGrid>
      <w:tr>
        <w:trPr>
          <w:cantSplit/>
          <w:tblHeader/>
        </w:trPr>
        <w:tc>
          <w:tcPr>
            <w:tcW w:type="dxa" w:w="2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Method</w:t>
            </w:r>
          </w:p>
        </w:tc>
        <w:tc>
          <w:tcPr>
            <w:tcW w:type="dxa" w:w="12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Online adaptation</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Explicit change detection</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Anytime false-alarm control</w:t>
            </w:r>
          </w:p>
        </w:tc>
        <w:tc>
          <w:tcPr>
            <w:tcW w:type="dxa" w:w="1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Wraps any online CP updater</w:t>
            </w:r>
          </w:p>
        </w:tc>
        <w:tc>
          <w:tcPr>
            <w:tcW w:type="dxa" w:w="14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Black-box predictor</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Split CP (Lei et al., 2018)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ACI (Gibbs &amp; Candès, 2021)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DtACI / AgACI (Gibbs &amp; Candès, 2024; Zaffran et al., 2022)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SAOCP (Bhatnagar et al., 2023)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Conformal PID / QT (Angelopoulos et al., 2023)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RetroAdj (Jun &amp; Ohn, 2026)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(LOO-updatable models)</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CPTC (Sun &amp; Yu, 2025)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via state model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(switching forecaster)</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CTM retraining (Vovk et al., 2021)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retrain trigger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WATCH (Prinster et al., 2025)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(covariate shift)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KS monitor + weighted CP (Leong, 2026)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 alarm</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(KS)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(empirical)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MARS-CP (ours)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 (two-sided)</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14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bl>
    <w:p>
      <w:pPr>
        <w:spacing w:after="160"/>
      </w:pPr>
    </w:p>
    <w:p>
      <w:pPr>
        <w:pStyle w:val="Heading1"/>
        <w:spacing w:after="140" w:before="280"/>
      </w:pPr>
      <w:r>
        <w:rPr>
          <w:rFonts w:ascii="Times New Roman" w:cs="Times New Roman" w:eastAsia="Times New Roman" w:hAnsi="Times New Roman"/>
        </w:rPr>
        <w:t xml:space="preserve">3 Problem Formulation and Preliminaries</w:t>
      </w:r>
    </w:p>
    <w:p>
      <w:pPr>
        <w:pStyle w:val="Heading2"/>
        <w:spacing w:after="100" w:before="200"/>
      </w:pPr>
      <w:r>
        <w:rPr>
          <w:rFonts w:ascii="Times New Roman" w:cs="Times New Roman" w:eastAsia="Times New Roman" w:hAnsi="Times New Roman"/>
        </w:rPr>
        <w:t xml:space="preserve">3.1 Setting</w:t>
      </w:r>
    </w:p>
    <w:p>
      <w:pPr>
        <w:spacing w:after="120" w:line="300"/>
        <w:jc w:val="both"/>
      </w:pPr>
      <w:r>
        <w:rPr>
          <w:rFonts w:ascii="Times New Roman" w:cs="Times New Roman" w:eastAsia="Times New Roman" w:hAnsi="Times New Roman"/>
        </w:rPr>
        <w:t xml:space="preserve">We observe a stream (X</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,Y</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(X</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,Y</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with 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𝒳 and Y</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ℝ. At each time t a forecaster f̂</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trained only on data before t, produces a point prediction f̂</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the forecaster may be refitted periodically. We use the absolute-residual nonconformity score 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|Y</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f̂</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Before Y</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revealed, an online conformal method outputs a threshold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computed from past scores and forms the interval</w:t>
      </w:r>
    </w:p>
    <w:p>
      <w:pPr>
        <w:spacing w:after="120" w:before="80"/>
        <w:jc w:val="center"/>
      </w:pPr>
      <w:r>
        <w:rPr>
          <w:rFonts w:ascii="Times New Roman" w:cs="Times New Roman" w:eastAsia="Times New Roman" w:hAnsi="Times New Roman"/>
        </w:rPr>
        <w:t xml:space="preserve">Ĉ</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 f̂</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f̂</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𝟙{ 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&gt;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t>
      </w:r>
      <w:r>
        <w:rPr>
          <w:rFonts w:ascii="Times New Roman" w:cs="Times New Roman" w:eastAsia="Times New Roman" w:hAnsi="Times New Roman"/>
        </w:rPr>
        <w:t xml:space="preserve">		(1)</w:t>
      </w:r>
    </w:p>
    <w:p>
      <w:pPr>
        <w:spacing w:after="120" w:line="300"/>
        <w:jc w:val="both"/>
      </w:pPr>
      <w:r>
        <w:rPr>
          <w:rFonts w:ascii="Times New Roman" w:cs="Times New Roman" w:eastAsia="Times New Roman" w:hAnsi="Times New Roman"/>
        </w:rPr>
        <w:t xml:space="preserve">The target miscoverage is α ∈ (0,1). We model non-stationarity as a sequence of </w:t>
      </w:r>
      <w:r>
        <w:rPr>
          <w:rFonts w:ascii="Times New Roman" w:cs="Times New Roman" w:eastAsia="Times New Roman" w:hAnsi="Times New Roman"/>
          <w:i/>
          <w:iCs/>
        </w:rPr>
        <w:t xml:space="preserve">regimes</w:t>
      </w:r>
      <w:r>
        <w:rPr>
          <w:rFonts w:ascii="Times New Roman" w:cs="Times New Roman" w:eastAsia="Times New Roman" w:hAnsi="Times New Roman"/>
        </w:rPr>
        <w:t xml:space="preserve">: unknown change points 0 = τ</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&lt; τ</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&lt; … partition time such that, within a regime, scores are (approximately) exchangeable, while their distribution may differ arbitrarily across regimes and may recur.</w:t>
      </w:r>
    </w:p>
    <w:p>
      <w:pPr>
        <w:pStyle w:val="Heading2"/>
        <w:spacing w:after="100" w:before="200"/>
      </w:pPr>
      <w:r>
        <w:rPr>
          <w:rFonts w:ascii="Times New Roman" w:cs="Times New Roman" w:eastAsia="Times New Roman" w:hAnsi="Times New Roman"/>
        </w:rPr>
        <w:t xml:space="preserve">3.2 Evaluation criteria</w:t>
      </w:r>
    </w:p>
    <w:p>
      <w:pPr>
        <w:spacing w:after="120" w:line="300"/>
        <w:jc w:val="both"/>
      </w:pPr>
      <w:r>
        <w:rPr>
          <w:rFonts w:ascii="Times New Roman" w:cs="Times New Roman" w:eastAsia="Times New Roman" w:hAnsi="Times New Roman"/>
        </w:rPr>
        <w:t xml:space="preserve">Long-run coverage (1/T)Σ(1 −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necessary but insufficient, since a method can over-cover in one regime and under-cover in another. Following earlier work (Angelopoulos et al., 2023; Gibbs &amp; Candès, 2021, 2024), we also measure behaviour over time. With rolling coverage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computed over a window of w = 100 steps, we report: (i) marginal coverage; (ii) mean interval width 2q̄ (infinite thresholds, which ACI-type methods produce when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are clipped at the largest observed score, and their frequency is reported separately as Inf%); (iii) local coverage error LCE = mean</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 α)|; (iv) under-coverage time UCT, the percentage of steps with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&lt; 1 − α − 0.05; and (v) on synthetic streams with known change points, coverage over the 200 steps following each change (post-shift coverage) and its worst case across changes.</w:t>
      </w:r>
    </w:p>
    <w:p>
      <w:pPr>
        <w:pStyle w:val="Heading2"/>
        <w:spacing w:after="100" w:before="200"/>
      </w:pPr>
      <w:r>
        <w:rPr>
          <w:rFonts w:ascii="Times New Roman" w:cs="Times New Roman" w:eastAsia="Times New Roman" w:hAnsi="Times New Roman"/>
        </w:rPr>
        <w:t xml:space="preserve">3.3 Split conformal quantile and ACI</w:t>
      </w:r>
    </w:p>
    <w:p>
      <w:pPr>
        <w:spacing w:after="120" w:line="300"/>
        <w:jc w:val="both"/>
      </w:pPr>
      <w:r>
        <w:rPr>
          <w:rFonts w:ascii="Times New Roman" w:cs="Times New Roman" w:eastAsia="Times New Roman" w:hAnsi="Times New Roman"/>
        </w:rPr>
        <w:t xml:space="preserve">For a calibration multiset 𝓑 of n scores and a level a, the conformal quantile is</w:t>
      </w:r>
    </w:p>
    <w:p>
      <w:pPr>
        <w:spacing w:after="120" w:before="80"/>
        <w:jc w:val="center"/>
      </w:pPr>
      <w:r>
        <w:rPr>
          <w:rFonts w:ascii="Times New Roman" w:cs="Times New Roman" w:eastAsia="Times New Roman" w:hAnsi="Times New Roman"/>
        </w:rPr>
        <w:t xml:space="preserve">Q(𝓑; a) = s</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with k = ⌈(n+1)(1 − a)⌉,   Q = +∞ if a ≤ 0 or k &gt; n,   Q = 0 if a ≥ 1,</w:t>
      </w:r>
      <w:r>
        <w:rPr>
          <w:rFonts w:ascii="Times New Roman" w:cs="Times New Roman" w:eastAsia="Times New Roman" w:hAnsi="Times New Roman"/>
        </w:rPr>
        <w:t xml:space="preserve">		(2)</w:t>
      </w:r>
    </w:p>
    <w:p>
      <w:pPr>
        <w:spacing w:after="120" w:line="300"/>
        <w:jc w:val="both"/>
      </w:pPr>
      <w:r>
        <w:rPr>
          <w:rFonts w:ascii="Times New Roman" w:cs="Times New Roman" w:eastAsia="Times New Roman" w:hAnsi="Times New Roman"/>
        </w:rPr>
        <w:t xml:space="preserve">where s</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is the k-th smallest element. Rolling CP uses the last W scores as 𝓑. ACI (Gibbs &amp; Candès, 2021) sets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Q(𝓑</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and updates</w:t>
      </w:r>
    </w:p>
    <w:p>
      <w:pPr>
        <w:spacing w:after="120" w:before="80"/>
        <w:jc w:val="center"/>
      </w:pPr>
      <w:r>
        <w:rPr>
          <w:rFonts w:ascii="Times New Roman" w:cs="Times New Roman" w:eastAsia="Times New Roman" w:hAnsi="Times New Roman"/>
        </w:rPr>
        <w:t xml:space="preserve">α</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γ(α −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w:t>
      </w:r>
      <w:r>
        <w:rPr>
          <w:rFonts w:ascii="Times New Roman" w:cs="Times New Roman" w:eastAsia="Times New Roman" w:hAnsi="Times New Roman"/>
        </w:rPr>
        <w:t xml:space="preserve">		(3)</w:t>
      </w:r>
    </w:p>
    <w:p>
      <w:pPr>
        <w:pStyle w:val="Heading2"/>
        <w:spacing w:after="100" w:before="200"/>
      </w:pPr>
      <w:r>
        <w:rPr>
          <w:rFonts w:ascii="Times New Roman" w:cs="Times New Roman" w:eastAsia="Times New Roman" w:hAnsi="Times New Roman"/>
        </w:rPr>
        <w:t xml:space="preserve">3.4 Conformal test martingales</w:t>
      </w:r>
    </w:p>
    <w:p>
      <w:pPr>
        <w:spacing w:after="120" w:line="300"/>
        <w:jc w:val="both"/>
      </w:pPr>
      <w:r>
        <w:rPr>
          <w:rFonts w:ascii="Times New Roman" w:cs="Times New Roman" w:eastAsia="Times New Roman" w:hAnsi="Times New Roman"/>
        </w:rPr>
        <w:t xml:space="preserve">Given a multiset 𝓗 of n past scores, the smoothed conformal p-value of a new score s is</w:t>
      </w:r>
    </w:p>
    <w:p>
      <w:pPr>
        <w:spacing w:after="120" w:before="80"/>
        <w:jc w:val="center"/>
      </w:pPr>
      <w:r>
        <w:rPr>
          <w:rFonts w:ascii="Times New Roman" w:cs="Times New Roman" w:eastAsia="Times New Roman" w:hAnsi="Times New Roman"/>
        </w:rPr>
        <w:t xml:space="preserve">p(s; 𝓗) = ( #{h ∈ 𝓗 : h &gt; s} + U · (#{h ∈ 𝓗 : h = s} + 1) ) / (n + 1),   U ~ Unif(0,1).</w:t>
      </w:r>
      <w:r>
        <w:rPr>
          <w:rFonts w:ascii="Times New Roman" w:cs="Times New Roman" w:eastAsia="Times New Roman" w:hAnsi="Times New Roman"/>
        </w:rPr>
        <w:t xml:space="preserve">		(4)</w:t>
      </w:r>
    </w:p>
    <w:p>
      <w:pPr>
        <w:spacing w:after="120" w:line="300"/>
        <w:jc w:val="both"/>
      </w:pPr>
      <w:r>
        <w:rPr>
          <w:rFonts w:ascii="Times New Roman" w:cs="Times New Roman" w:eastAsia="Times New Roman" w:hAnsi="Times New Roman"/>
        </w:rPr>
        <w:t xml:space="preserve">If the scores are exchangeable and each p-value is computed against all previous scores, the p-values are independent and uniformly distributed on [0,1] (Volkhonskiy et al., 2017; Vovk et al., 2005). A </w:t>
      </w:r>
      <w:r>
        <w:rPr>
          <w:rFonts w:ascii="Times New Roman" w:cs="Times New Roman" w:eastAsia="Times New Roman" w:hAnsi="Times New Roman"/>
          <w:i/>
          <w:iCs/>
        </w:rPr>
        <w:t xml:space="preserve">betting function</w:t>
      </w:r>
      <w:r>
        <w:rPr>
          <w:rFonts w:ascii="Times New Roman" w:cs="Times New Roman" w:eastAsia="Times New Roman" w:hAnsi="Times New Roman"/>
        </w:rPr>
        <w:t xml:space="preserve"> g: [0,1] → [0,∞) with ∫g = 1 then yields a nonnegative martingale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Π g(p</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with M</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 1, and Ville’s inequality (Ville, 1939) gives P(sup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1/δ) ≤ δ. The simple-jumper martingale (Vovk, 2021; Vovk et al., 2021) mixes betting functions g</w:t>
      </w:r>
      <w:r>
        <w:rPr>
          <w:rFonts w:ascii="Times New Roman" w:cs="Times New Roman" w:eastAsia="Times New Roman" w:hAnsi="Times New Roman"/>
          <w:vertAlign w:val="subscript"/>
        </w:rPr>
        <w:t xml:space="preserve">ε</w:t>
      </w:r>
      <w:r>
        <w:rPr>
          <w:rFonts w:ascii="Times New Roman" w:cs="Times New Roman" w:eastAsia="Times New Roman" w:hAnsi="Times New Roman"/>
        </w:rPr>
        <w:t xml:space="preserve">(p) = 1 + ε(p − 1/2), ε ∈ {−1, 0, 1}, allowing capital to ‘jump’ between them with rate J, which lets it detect changes that occur long after monitoring starts.</w:t>
      </w:r>
    </w:p>
    <w:p>
      <w:pPr>
        <w:pStyle w:val="Heading1"/>
        <w:spacing w:after="140" w:before="280"/>
      </w:pPr>
      <w:r>
        <w:rPr>
          <w:rFonts w:ascii="Times New Roman" w:cs="Times New Roman" w:eastAsia="Times New Roman" w:hAnsi="Times New Roman"/>
        </w:rPr>
        <w:t xml:space="preserve">4 The Proposed MARS-CP Framework</w:t>
      </w:r>
    </w:p>
    <w:p>
      <w:pPr>
        <w:pStyle w:val="Heading2"/>
        <w:spacing w:after="100" w:before="200"/>
      </w:pPr>
      <w:r>
        <w:rPr>
          <w:rFonts w:ascii="Times New Roman" w:cs="Times New Roman" w:eastAsia="Times New Roman" w:hAnsi="Times New Roman"/>
        </w:rPr>
        <w:t xml:space="preserve">4.1 Overview</w:t>
      </w:r>
    </w:p>
    <w:p>
      <w:pPr>
        <w:spacing w:after="120" w:line="300"/>
        <w:jc w:val="both"/>
      </w:pPr>
      <w:r>
        <w:rPr>
          <w:rFonts w:ascii="Times New Roman" w:cs="Times New Roman" w:eastAsia="Times New Roman" w:hAnsi="Times New Roman"/>
        </w:rPr>
        <w:t xml:space="preserve">MARS-CP (Fig. 1) runs three paths. The </w:t>
      </w:r>
      <w:r>
        <w:rPr>
          <w:rFonts w:ascii="Times New Roman" w:cs="Times New Roman" w:eastAsia="Times New Roman" w:hAnsi="Times New Roman"/>
          <w:i/>
          <w:iCs/>
        </w:rPr>
        <w:t xml:space="preserve">prediction path</w:t>
      </w:r>
      <w:r>
        <w:rPr>
          <w:rFonts w:ascii="Times New Roman" w:cs="Times New Roman" w:eastAsia="Times New Roman" w:hAnsi="Times New Roman"/>
        </w:rPr>
        <w:t xml:space="preserve"> is an unmodified online CP updater (ACI, QT or DtACI) that computes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from the calibration buffer 𝓑</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of the current regime k. The </w:t>
      </w:r>
      <w:r>
        <w:rPr>
          <w:rFonts w:ascii="Times New Roman" w:cs="Times New Roman" w:eastAsia="Times New Roman" w:hAnsi="Times New Roman"/>
          <w:i/>
          <w:iCs/>
        </w:rPr>
        <w:t xml:space="preserve">monitoring path</w:t>
      </w:r>
      <w:r>
        <w:rPr>
          <w:rFonts w:ascii="Times New Roman" w:cs="Times New Roman" w:eastAsia="Times New Roman" w:hAnsi="Times New Roman"/>
        </w:rPr>
        <w:t xml:space="preserve"> converts every new score into a conformal p-value with respect to the history of the current regime and feeds it to a two-sided test martingale (Algorithm 2). The </w:t>
      </w:r>
      <w:r>
        <w:rPr>
          <w:rFonts w:ascii="Times New Roman" w:cs="Times New Roman" w:eastAsia="Times New Roman" w:hAnsi="Times New Roman"/>
          <w:i/>
          <w:iCs/>
        </w:rPr>
        <w:t xml:space="preserve">response path</w:t>
      </w:r>
      <w:r>
        <w:rPr>
          <w:rFonts w:ascii="Times New Roman" w:cs="Times New Roman" w:eastAsia="Times New Roman" w:hAnsi="Times New Roman"/>
        </w:rPr>
        <w:t xml:space="preserve"> (Algorithm 3) is executed only when the martingale raises an alarm: it localises the change point, closes regime k, opens regime k+1 with a buffer made of post-change scores, and re-initialises the updater. An optional regime-memory bank stores closed regimes and recalls a matching one when a regime recurs. Algorithm 1 combines the three paths, and Fig. 2 traces the life cycle of a regime through them.</w:t>
      </w:r>
    </w:p>
    <w:p>
      <w:pPr>
        <w:keepNext/>
        <w:spacing w:before="120"/>
        <w:jc w:val="center"/>
      </w:pPr>
      <w:r>
        <w:drawing>
          <wp:inline distT="0" distB="0" distL="0" distR="0">
            <wp:extent cx="5715000" cy="3219450"/>
            <wp:effectExtent t="0" r="0" b="0" l="0"/>
            <wp:docPr id="1" name="fig1_framework.png" descr="Fig. 1 Architecture of MARS-CP. The prediction path is any online conformal updater operating on the current regime buffer. The monitoring path computes regime-conditional conformal p-values and a two" title="Fig. 1 Architecture of MARS-CP. The prediction path is any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1</w:t>
      </w:r>
      <w:r>
        <w:rPr>
          <w:rFonts w:ascii="Times New Roman" w:cs="Times New Roman" w:eastAsia="Times New Roman" w:hAnsi="Times New Roman"/>
          <w:sz w:val="19"/>
          <w:szCs w:val="19"/>
        </w:rPr>
        <w:t xml:space="preserve"> Architecture of MARS-CP. The prediction path is any online conformal updater operating on the current regime buffer. The monitoring path computes regime-conditional conformal p-values and a two-sided simple-jumper test martingale. The response path, triggered only when the martingale exceeds 1/δ, localises the change, rebuilds the buffer and re-initialises the updater; the regime-memory bank is optional</w:t>
      </w:r>
    </w:p>
    <w:p>
      <w:pPr>
        <w:pStyle w:val="Heading2"/>
        <w:spacing w:after="100" w:before="200"/>
      </w:pPr>
      <w:r>
        <w:rPr>
          <w:rFonts w:ascii="Times New Roman" w:cs="Times New Roman" w:eastAsia="Times New Roman" w:hAnsi="Times New Roman"/>
        </w:rPr>
        <w:t xml:space="preserve">4.2 Regime-conditional conformal p-values</w:t>
      </w:r>
    </w:p>
    <w:p>
      <w:pPr>
        <w:spacing w:after="120" w:line="300"/>
        <w:jc w:val="both"/>
      </w:pPr>
      <w:r>
        <w:rPr>
          <w:rFonts w:ascii="Times New Roman" w:cs="Times New Roman" w:eastAsia="Times New Roman" w:hAnsi="Times New Roman"/>
        </w:rPr>
        <w:t xml:space="preserve">Let 𝓗</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denote all scores observed since regime k was opened (including the post-change scores it was initialised with). When 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revealed, MARS-CP computes 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p(s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𝓗</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by Eq. (4) and inserts 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into 𝓗</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kept sorted so that each p-value costs O(log n) comparisons. Crucially, p-values are computed against the </w:t>
      </w:r>
      <w:r>
        <w:rPr>
          <w:rFonts w:ascii="Times New Roman" w:cs="Times New Roman" w:eastAsia="Times New Roman" w:hAnsi="Times New Roman"/>
          <w:i/>
          <w:iCs/>
        </w:rPr>
        <w:t xml:space="preserve">full</w:t>
      </w:r>
      <w:r>
        <w:rPr>
          <w:rFonts w:ascii="Times New Roman" w:cs="Times New Roman" w:eastAsia="Times New Roman" w:hAnsi="Times New Roman"/>
        </w:rPr>
        <w:t xml:space="preserve"> regime history rather than the size-W calibration window, which is what makes them independent and uniform when the regime is exchangeable, and hence what makes the false-alarm guarantee of Sect. 5 hold. The p-values do not depend on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or on the inner updater, so the monitor is identical for all wrapped methods.</w:t>
      </w:r>
    </w:p>
    <w:p>
      <w:pPr>
        <w:pStyle w:val="Heading2"/>
        <w:spacing w:after="100" w:before="200"/>
      </w:pPr>
      <w:r>
        <w:rPr>
          <w:rFonts w:ascii="Times New Roman" w:cs="Times New Roman" w:eastAsia="Times New Roman" w:hAnsi="Times New Roman"/>
        </w:rPr>
        <w:t xml:space="preserve">4.3 Two-sided simple-jumper martingale</w:t>
      </w:r>
    </w:p>
    <w:p>
      <w:pPr>
        <w:spacing w:after="120" w:line="300"/>
        <w:jc w:val="both"/>
      </w:pPr>
      <w:r>
        <w:rPr>
          <w:rFonts w:ascii="Times New Roman" w:cs="Times New Roman" w:eastAsia="Times New Roman" w:hAnsi="Times New Roman"/>
        </w:rPr>
        <w:t xml:space="preserve">Small p-values mean that new scores are </w:t>
      </w:r>
      <w:r>
        <w:rPr>
          <w:rFonts w:ascii="Times New Roman" w:cs="Times New Roman" w:eastAsia="Times New Roman" w:hAnsi="Times New Roman"/>
          <w:i/>
          <w:iCs/>
        </w:rPr>
        <w:t xml:space="preserve">larger</w:t>
      </w:r>
      <w:r>
        <w:rPr>
          <w:rFonts w:ascii="Times New Roman" w:cs="Times New Roman" w:eastAsia="Times New Roman" w:hAnsi="Times New Roman"/>
        </w:rPr>
        <w:t xml:space="preserve"> than those of the current regime (the stream became harder and coverage is threatened); large p-values mean that they are </w:t>
      </w:r>
      <w:r>
        <w:rPr>
          <w:rFonts w:ascii="Times New Roman" w:cs="Times New Roman" w:eastAsia="Times New Roman" w:hAnsi="Times New Roman"/>
          <w:i/>
          <w:iCs/>
        </w:rPr>
        <w:t xml:space="preserve">smaller</w:t>
      </w:r>
      <w:r>
        <w:rPr>
          <w:rFonts w:ascii="Times New Roman" w:cs="Times New Roman" w:eastAsia="Times New Roman" w:hAnsi="Times New Roman"/>
        </w:rPr>
        <w:t xml:space="preserve"> (the stream became easier and intervals are needlessly wide). Coverage-driven updaters see the first kind of change through errors but see the second only weakly. MARS-CP therefore uses the full simple jumper with states ε ∈ {−1, 0, +1}: the state ε = −1 profits from small p-values, ε = +1 from large ones, and ε = 0 is neutral. With capital vector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over the states, each step performs</w:t>
      </w:r>
    </w:p>
    <w:p>
      <w:pPr>
        <w:spacing w:after="120" w:before="80"/>
        <w:jc w:val="center"/>
      </w:pPr>
      <w:r>
        <w:rPr>
          <w:rFonts w:ascii="Times New Roman" w:cs="Times New Roman" w:eastAsia="Times New Roman" w:hAnsi="Times New Roman"/>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 J) C</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 (J/3) · ΣC</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(ε) ←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(ε) · (1 + ε(p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− 1/2)),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Σ</w:t>
      </w:r>
      <w:r>
        <w:rPr>
          <w:rFonts w:ascii="Times New Roman" w:cs="Times New Roman" w:eastAsia="Times New Roman" w:hAnsi="Times New Roman"/>
          <w:vertAlign w:val="subscript"/>
        </w:rPr>
        <w:t xml:space="preserve">ε</w:t>
      </w:r>
      <w:r>
        <w:rPr>
          <w:rFonts w:ascii="Times New Roman" w:cs="Times New Roman" w:eastAsia="Times New Roman" w:hAnsi="Times New Roman"/>
        </w:rPr>
        <w:t xml:space="preserve"> 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(ε),</w:t>
      </w:r>
      <w:r>
        <w:rPr>
          <w:rFonts w:ascii="Times New Roman" w:cs="Times New Roman" w:eastAsia="Times New Roman" w:hAnsi="Times New Roman"/>
        </w:rPr>
        <w:t xml:space="preserve">		(5)</w:t>
      </w:r>
    </w:p>
    <w:p>
      <w:pPr>
        <w:spacing w:after="120" w:line="300"/>
        <w:jc w:val="both"/>
      </w:pPr>
      <w:r>
        <w:rPr>
          <w:rFonts w:ascii="Times New Roman" w:cs="Times New Roman" w:eastAsia="Times New Roman" w:hAnsi="Times New Roman"/>
        </w:rPr>
        <w:t xml:space="preserve">computed in log-space for numerical stability. An alarm is raised when log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log(1/δ). Algorithm 2 gives the monitoring procedure, including change localisation. The one-sided variant (states {−1, 0}) is evaluated as an ablation.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none" w:color="FFFFFF" w:sz="0"/>
              <w:bottom w:val="single" w:color="000000" w:sz="4"/>
              <w:right w:val="none" w:color="FFFFFF" w:sz="0"/>
            </w:tcBorders>
            <w:tcMar>
              <w:top w:type="dxa" w:w="100"/>
              <w:left w:type="dxa" w:w="120"/>
              <w:bottom w:type="dxa" w:w="100"/>
              <w:right w:type="dxa" w:w="120"/>
            </w:tcMar>
          </w:tcPr>
          <w:p>
            <w:pPr>
              <w:spacing w:after="60"/>
            </w:pPr>
            <w:r>
              <w:rPr>
                <w:rFonts w:ascii="Times New Roman" w:cs="Times New Roman" w:eastAsia="Times New Roman" w:hAnsi="Times New Roman"/>
                <w:b/>
                <w:bCs/>
                <w:sz w:val="19"/>
                <w:szCs w:val="19"/>
              </w:rPr>
              <w:t xml:space="preserve">Algorithm 2  MONITOR: two-sided jumper update and change localisation</w:t>
            </w:r>
          </w:p>
          <w:p>
            <w:pPr>
              <w:spacing w:after="0" w:line="260"/>
              <w:ind w:left="0"/>
            </w:pPr>
            <w:r>
              <w:rPr>
                <w:rFonts w:ascii="Times New Roman" w:cs="Times New Roman" w:eastAsia="Times New Roman" w:hAnsi="Times New Roman"/>
                <w:b/>
                <w:bCs/>
                <w:sz w:val="18"/>
                <w:szCs w:val="18"/>
              </w:rPr>
              <w:t xml:space="preserve">Input:</w:t>
            </w:r>
            <w:r>
              <w:rPr>
                <w:rFonts w:ascii="Times New Roman" w:cs="Times New Roman" w:eastAsia="Times New Roman" w:hAnsi="Times New Roman"/>
                <w:sz w:val="18"/>
                <w:szCs w:val="18"/>
              </w:rPr>
              <w:t xml:space="preserve"> new score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sorted regime history 𝓗; capital vector C over ε ∈ {−1, 0, +1}; log-martingale path Λ; jumper rate J; budget δ.</w:t>
            </w:r>
          </w:p>
          <w:p>
            <w:pPr>
              <w:spacing w:after="0" w:line="260"/>
              <w:ind w:left="0"/>
            </w:pPr>
            <w:r>
              <w:rPr>
                <w:rFonts w:ascii="Times New Roman" w:cs="Times New Roman" w:eastAsia="Times New Roman" w:hAnsi="Times New Roman"/>
                <w:b/>
                <w:bCs/>
                <w:sz w:val="18"/>
                <w:szCs w:val="18"/>
              </w:rPr>
              <w:t xml:space="preserve">Output:</w:t>
            </w:r>
            <w:r>
              <w:rPr>
                <w:rFonts w:ascii="Times New Roman" w:cs="Times New Roman" w:eastAsia="Times New Roman" w:hAnsi="Times New Roman"/>
                <w:sz w:val="18"/>
                <w:szCs w:val="18"/>
              </w:rPr>
              <w:t xml:space="preserve"> alarm flag and, on alarm, the localised change point ĉ.</w:t>
            </w:r>
          </w:p>
          <w:p>
            <w:pPr>
              <w:spacing w:after="0" w:line="260"/>
              <w:ind w:left="0"/>
            </w:pPr>
            <w:r>
              <w:rPr>
                <w:rFonts w:ascii="Times New Roman" w:cs="Times New Roman" w:eastAsia="Times New Roman" w:hAnsi="Times New Roman"/>
                <w:sz w:val="18"/>
                <w:szCs w:val="18"/>
              </w:rPr>
              <w:t xml:space="preserve">n ← |𝓗|;  g ← #{h ∈ 𝓗 : h &gt;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e ← #{h ∈ 𝓗 : h =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draw U ~ Unif(0,1)</w:t>
            </w:r>
          </w:p>
          <w:p>
            <w:pPr>
              <w:spacing w:after="0" w:line="260"/>
              <w:ind w:left="0"/>
            </w:pPr>
            <w:r>
              <w:rPr>
                <w:rFonts w:ascii="Times New Roman" w:cs="Times New Roman" w:eastAsia="Times New Roman" w:hAnsi="Times New Roman"/>
                <w:sz w:val="18"/>
                <w:szCs w:val="18"/>
              </w:rPr>
              <w:t xml:space="preserve">p</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(g + U(e + 1)) / (n + 1)                                ▷ regime-conditional p-value, Eq. (4)</w:t>
            </w:r>
          </w:p>
          <w:p>
            <w:pPr>
              <w:spacing w:after="0" w:line="260"/>
              <w:ind w:left="0"/>
            </w:pPr>
            <w:r>
              <w:rPr>
                <w:rFonts w:ascii="Times New Roman" w:cs="Times New Roman" w:eastAsia="Times New Roman" w:hAnsi="Times New Roman"/>
                <w:sz w:val="18"/>
                <w:szCs w:val="18"/>
              </w:rPr>
              <w:t xml:space="preserve">C ← (1 − J) C + (J/3) ΣC                                         ▷ jumping between betting states</w:t>
            </w:r>
          </w:p>
          <w:p>
            <w:pPr>
              <w:spacing w:after="0" w:line="260"/>
              <w:ind w:left="0"/>
            </w:pP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ε ∈ {−1, 0, +1} </w:t>
            </w:r>
            <w:r>
              <w:rPr>
                <w:rFonts w:ascii="Times New Roman" w:cs="Times New Roman" w:eastAsia="Times New Roman" w:hAnsi="Times New Roman"/>
                <w:b/>
                <w:bCs/>
                <w:sz w:val="18"/>
                <w:szCs w:val="18"/>
              </w:rPr>
              <w:t xml:space="preserve">do</w:t>
            </w:r>
            <w:r>
              <w:rPr>
                <w:rFonts w:ascii="Times New Roman" w:cs="Times New Roman" w:eastAsia="Times New Roman" w:hAnsi="Times New Roman"/>
                <w:sz w:val="18"/>
                <w:szCs w:val="18"/>
              </w:rPr>
              <w:t xml:space="preserve">  C(ε) ← C(ε) · (1 + ε(p</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− 1/2))   ▷ ε = −1 bets on harder, ε = +1 on easier</w:t>
            </w:r>
          </w:p>
          <w:p>
            <w:pPr>
              <w:spacing w:after="0" w:line="260"/>
              <w:ind w:left="0"/>
            </w:pPr>
            <w:r>
              <w:rPr>
                <w:rFonts w:ascii="Times New Roman" w:cs="Times New Roman" w:eastAsia="Times New Roman" w:hAnsi="Times New Roman"/>
                <w:sz w:val="18"/>
                <w:szCs w:val="18"/>
              </w:rPr>
              <w:t xml:space="preserve">Λ</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Λ</w:t>
            </w:r>
            <w:r>
              <w:rPr>
                <w:rFonts w:ascii="Times New Roman" w:cs="Times New Roman" w:eastAsia="Times New Roman" w:hAnsi="Times New Roman"/>
                <w:sz w:val="18"/>
                <w:szCs w:val="18"/>
                <w:vertAlign w:val="subscript"/>
              </w:rPr>
              <w:t xml:space="preserve">t−1</w:t>
            </w:r>
            <w:r>
              <w:rPr>
                <w:rFonts w:ascii="Times New Roman" w:cs="Times New Roman" w:eastAsia="Times New Roman" w:hAnsi="Times New Roman"/>
                <w:sz w:val="18"/>
                <w:szCs w:val="18"/>
              </w:rPr>
              <w:t xml:space="preserve"> + log ΣC;  C ← C / ΣC                       ▷ log-space normalisation</w:t>
            </w:r>
          </w:p>
          <w:p>
            <w:pPr>
              <w:spacing w:after="0" w:line="260"/>
              <w:ind w:left="0"/>
            </w:pPr>
            <w:r>
              <w:rPr>
                <w:rFonts w:ascii="Times New Roman" w:cs="Times New Roman" w:eastAsia="Times New Roman" w:hAnsi="Times New Roman"/>
                <w:sz w:val="18"/>
                <w:szCs w:val="18"/>
              </w:rPr>
              <w:t xml:space="preserve">insert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into 𝓗 (sorted);  append Λ</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to path</w:t>
            </w:r>
          </w:p>
          <w:p>
            <w:pPr>
              <w:spacing w:after="0" w:line="260"/>
              <w:ind w:left="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Λ</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log(1/δ) </w:t>
            </w:r>
            <w:r>
              <w:rPr>
                <w:rFonts w:ascii="Times New Roman" w:cs="Times New Roman" w:eastAsia="Times New Roman" w:hAnsi="Times New Roman"/>
                <w:b/>
                <w:bCs/>
                <w:sz w:val="18"/>
                <w:szCs w:val="18"/>
              </w:rPr>
              <w:t xml:space="preserve">then</w:t>
            </w:r>
          </w:p>
          <w:p>
            <w:pPr>
              <w:spacing w:after="0" w:line="260"/>
              <w:ind w:left="240"/>
            </w:pPr>
            <w:r>
              <w:rPr>
                <w:rFonts w:ascii="Times New Roman" w:cs="Times New Roman" w:eastAsia="Times New Roman" w:hAnsi="Times New Roman"/>
                <w:sz w:val="18"/>
                <w:szCs w:val="18"/>
              </w:rPr>
              <w:t xml:space="preserve">ĉ ← (index of the first monitored score) + argmin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Λ</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evidence started to grow after ĉ, Eq. (6)</w:t>
            </w:r>
          </w:p>
          <w:p>
            <w:pPr>
              <w:spacing w:after="0" w:line="260"/>
              <w:ind w:left="240"/>
            </w:pP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(ALARM, ĉ)</w:t>
            </w:r>
          </w:p>
          <w:p>
            <w:pPr>
              <w:spacing w:after="0" w:line="260"/>
              <w:ind w:left="0"/>
            </w:pP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(NO ALARM)</w:t>
            </w:r>
          </w:p>
        </w:tc>
      </w:tr>
    </w:tbl>
    <w:p>
      <w:pPr>
        <w:spacing w:after="160"/>
      </w:pPr>
    </w:p>
    <w:p>
      <w:pPr>
        <w:pStyle w:val="Heading2"/>
        <w:spacing w:after="100" w:before="200"/>
      </w:pPr>
      <w:r>
        <w:rPr>
          <w:rFonts w:ascii="Times New Roman" w:cs="Times New Roman" w:eastAsia="Times New Roman" w:hAnsi="Times New Roman"/>
        </w:rPr>
        <w:t xml:space="preserve">4.4 Change localisation, regime reset and conservative bridge</w:t>
      </w:r>
    </w:p>
    <w:p>
      <w:pPr>
        <w:spacing w:after="120" w:line="300"/>
        <w:jc w:val="both"/>
      </w:pPr>
      <w:r>
        <w:rPr>
          <w:rFonts w:ascii="Times New Roman" w:cs="Times New Roman" w:eastAsia="Times New Roman" w:hAnsi="Times New Roman"/>
        </w:rPr>
        <w:t xml:space="preserve">A martingale alarm occurs after the change, with a delay that depends on its magnitude. Discarding only the scores after the alarm would waste post-change information, while keeping all scores since the last reset would contaminate the new buffer with pre-change data. MARS-CP localises the change at</w:t>
      </w:r>
    </w:p>
    <w:p>
      <w:pPr>
        <w:spacing w:after="120" w:before="80"/>
        <w:jc w:val="center"/>
      </w:pPr>
      <w:r>
        <w:rPr>
          <w:rFonts w:ascii="Times New Roman" w:cs="Times New Roman" w:eastAsia="Times New Roman" w:hAnsi="Times New Roman"/>
        </w:rPr>
        <w:t xml:space="preserve">ĉ = argmin</w:t>
      </w:r>
      <w:r>
        <w:rPr>
          <w:rFonts w:ascii="Times New Roman" w:cs="Times New Roman" w:eastAsia="Times New Roman" w:hAnsi="Times New Roman"/>
          <w:vertAlign w:val="subscript"/>
        </w:rPr>
        <w:t xml:space="preserve">j ≤ t</w:t>
      </w:r>
      <w:r>
        <w:rPr>
          <w:rFonts w:ascii="Times New Roman" w:cs="Times New Roman" w:eastAsia="Times New Roman" w:hAnsi="Times New Roman"/>
        </w:rPr>
        <w:t xml:space="preserve"> log M</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w:t>
      </w:r>
      <w:r>
        <w:rPr>
          <w:rFonts w:ascii="Times New Roman" w:cs="Times New Roman" w:eastAsia="Times New Roman" w:hAnsi="Times New Roman"/>
        </w:rPr>
        <w:t xml:space="preserve">		(6)</w:t>
      </w:r>
    </w:p>
    <w:p>
      <w:pPr>
        <w:spacing w:after="120" w:line="300"/>
        <w:jc w:val="both"/>
      </w:pPr>
      <w:r>
        <w:rPr>
          <w:rFonts w:ascii="Times New Roman" w:cs="Times New Roman" w:eastAsia="Times New Roman" w:hAnsi="Times New Roman"/>
        </w:rPr>
        <w:t xml:space="preserve">the point after which the accumulated evidence started to grow, in the spirit of CUSUM (Page, 1954). Scores after ĉ (at most W of them) form the new buffer 𝓑</w:t>
      </w:r>
      <w:r>
        <w:rPr>
          <w:rFonts w:ascii="Times New Roman" w:cs="Times New Roman" w:eastAsia="Times New Roman" w:hAnsi="Times New Roman"/>
          <w:vertAlign w:val="subscript"/>
        </w:rPr>
        <w:t xml:space="preserve">k+1</w:t>
      </w:r>
      <w:r>
        <w:rPr>
          <w:rFonts w:ascii="Times New Roman" w:cs="Times New Roman" w:eastAsia="Times New Roman" w:hAnsi="Times New Roman"/>
        </w:rPr>
        <w:t xml:space="preserve"> and history 𝓗</w:t>
      </w:r>
      <w:r>
        <w:rPr>
          <w:rFonts w:ascii="Times New Roman" w:cs="Times New Roman" w:eastAsia="Times New Roman" w:hAnsi="Times New Roman"/>
          <w:vertAlign w:val="subscript"/>
        </w:rPr>
        <w:t xml:space="preserve">k+1</w:t>
      </w:r>
      <w:r>
        <w:rPr>
          <w:rFonts w:ascii="Times New Roman" w:cs="Times New Roman" w:eastAsia="Times New Roman" w:hAnsi="Times New Roman"/>
        </w:rPr>
        <w:t xml:space="preserve">, the martingale is reset to M = 1, and the inner updater is re-initialised: ACI restarts from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α; QT restarts from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Q(𝓑</w:t>
      </w:r>
      <w:r>
        <w:rPr>
          <w:rFonts w:ascii="Times New Roman" w:cs="Times New Roman" w:eastAsia="Times New Roman" w:hAnsi="Times New Roman"/>
          <w:vertAlign w:val="subscript"/>
        </w:rPr>
        <w:t xml:space="preserve">k+1</w:t>
      </w:r>
      <w:r>
        <w:rPr>
          <w:rFonts w:ascii="Times New Roman" w:cs="Times New Roman" w:eastAsia="Times New Roman" w:hAnsi="Times New Roman"/>
        </w:rPr>
        <w:t xml:space="preserve">; α); for DtACI, the experts’ levels restart from α while the </w:t>
      </w:r>
      <w:r>
        <w:rPr>
          <w:rFonts w:ascii="Times New Roman" w:cs="Times New Roman" w:eastAsia="Times New Roman" w:hAnsi="Times New Roman"/>
          <w:i/>
          <w:iCs/>
        </w:rPr>
        <w:t xml:space="preserve">expert weights are retained</w:t>
      </w:r>
      <w:r>
        <w:rPr>
          <w:rFonts w:ascii="Times New Roman" w:cs="Times New Roman" w:eastAsia="Times New Roman" w:hAnsi="Times New Roman"/>
        </w:rPr>
        <w:t xml:space="preserve">, because the step size that suited the previous regime is informative about the next. The pre-change scores are kept as 𝓑</w:t>
      </w:r>
      <w:r>
        <w:rPr>
          <w:rFonts w:ascii="Times New Roman" w:cs="Times New Roman" w:eastAsia="Times New Roman" w:hAnsi="Times New Roman"/>
          <w:vertAlign w:val="subscript"/>
        </w:rPr>
        <w:t xml:space="preserve">prev</w:t>
      </w:r>
      <w:r>
        <w:rPr>
          <w:rFonts w:ascii="Times New Roman" w:cs="Times New Roman" w:eastAsia="Times New Roman" w:hAnsi="Times New Roman"/>
        </w:rPr>
        <w:t xml:space="preserve">.</w:t>
      </w:r>
    </w:p>
    <w:p>
      <w:pPr>
        <w:spacing w:after="120" w:line="300"/>
        <w:jc w:val="both"/>
      </w:pPr>
      <w:r>
        <w:rPr>
          <w:rFonts w:ascii="Times New Roman" w:cs="Times New Roman" w:eastAsia="Times New Roman" w:hAnsi="Times New Roman"/>
        </w:rPr>
        <w:t xml:space="preserve">Immediately after a reset the new buffer may contain very few scores, and Eq. (2) would return +∞. For the first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scores of a new regime (and unless a recall has occurred), MARS-CP therefore uses the </w:t>
      </w:r>
      <w:r>
        <w:rPr>
          <w:rFonts w:ascii="Times New Roman" w:cs="Times New Roman" w:eastAsia="Times New Roman" w:hAnsi="Times New Roman"/>
          <w:i/>
          <w:iCs/>
        </w:rPr>
        <w:t xml:space="preserve">conservative bridge</w:t>
      </w:r>
    </w:p>
    <w:p>
      <w:pPr>
        <w:spacing w:after="120" w:before="80"/>
        <w:jc w:val="center"/>
      </w:pPr>
      <w:r>
        <w:rPr>
          <w:rFonts w:ascii="Times New Roman" w:cs="Times New Roman" w:eastAsia="Times New Roman" w:hAnsi="Times New Roman"/>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max{ min(q</w:t>
      </w:r>
      <w:r>
        <w:rPr>
          <w:rFonts w:ascii="Times New Roman" w:cs="Times New Roman" w:eastAsia="Times New Roman" w:hAnsi="Times New Roman"/>
          <w:vertAlign w:val="superscript"/>
        </w:rPr>
        <w:t xml:space="preserve">inner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max 𝓑</w:t>
      </w:r>
      <w:r>
        <w:rPr>
          <w:rFonts w:ascii="Times New Roman" w:cs="Times New Roman" w:eastAsia="Times New Roman" w:hAnsi="Times New Roman"/>
          <w:vertAlign w:val="subscript"/>
        </w:rPr>
        <w:t xml:space="preserve">k+1</w:t>
      </w:r>
      <w:r>
        <w:rPr>
          <w:rFonts w:ascii="Times New Roman" w:cs="Times New Roman" w:eastAsia="Times New Roman" w:hAnsi="Times New Roman"/>
        </w:rPr>
        <w:t xml:space="preserve">),  Q(𝓑</w:t>
      </w:r>
      <w:r>
        <w:rPr>
          <w:rFonts w:ascii="Times New Roman" w:cs="Times New Roman" w:eastAsia="Times New Roman" w:hAnsi="Times New Roman"/>
          <w:vertAlign w:val="subscript"/>
        </w:rPr>
        <w:t xml:space="preserve">prev</w:t>
      </w:r>
      <w:r>
        <w:rPr>
          <w:rFonts w:ascii="Times New Roman" w:cs="Times New Roman" w:eastAsia="Times New Roman" w:hAnsi="Times New Roman"/>
        </w:rPr>
        <w:t xml:space="preserve">; α) },</w:t>
      </w:r>
      <w:r>
        <w:rPr>
          <w:rFonts w:ascii="Times New Roman" w:cs="Times New Roman" w:eastAsia="Times New Roman" w:hAnsi="Times New Roman"/>
        </w:rPr>
        <w:t xml:space="preserve">		(7)</w:t>
      </w:r>
    </w:p>
    <w:p>
      <w:pPr>
        <w:spacing w:after="120" w:line="300"/>
        <w:jc w:val="both"/>
      </w:pPr>
      <w:r>
        <w:rPr>
          <w:rFonts w:ascii="Times New Roman" w:cs="Times New Roman" w:eastAsia="Times New Roman" w:hAnsi="Times New Roman"/>
        </w:rPr>
        <w:t xml:space="preserve">which never falls below the previous regime’s quantile while fresh evidence is scarce, and grows immediately if the new scores are larger. Figure 2 shows how these steps form the life cycle of a regime, and Algorithm 3 states the response procedure.</w:t>
      </w:r>
    </w:p>
    <w:p>
      <w:pPr>
        <w:keepNext/>
        <w:spacing w:before="120"/>
        <w:jc w:val="center"/>
      </w:pPr>
      <w:r>
        <w:drawing>
          <wp:inline distT="0" distB="0" distL="0" distR="0">
            <wp:extent cx="5715000" cy="3629025"/>
            <wp:effectExtent t="0" r="0" b="0" l="0"/>
            <wp:docPr id="1" name="fig2_regime_lifecycle.png" descr="Fig. 2 Life cycle of a regime in MARS-CP. In the steady state, every revealed score updates the regime-conditional p-value and the two-sided jumper. An alarm triggers change localisation, closes the r" title="Fig. 2 Life cycle of a regime in MARS-CP. In the steady 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29025"/>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2</w:t>
      </w:r>
      <w:r>
        <w:rPr>
          <w:rFonts w:ascii="Times New Roman" w:cs="Times New Roman" w:eastAsia="Times New Roman" w:hAnsi="Times New Roman"/>
          <w:sz w:val="19"/>
          <w:szCs w:val="19"/>
        </w:rPr>
        <w:t xml:space="preserve"> Life cycle of a regime in MARS-CP. In the steady state, every revealed score updates the regime-conditional p-value and the two-sided jumper. An alarm triggers change localisation, closes the regime, opens a new one from post-change scores, re-initialises the inner updater, applies the conservative bridge and, optionally, attempts a single recall from the regime-memory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none" w:color="FFFFFF" w:sz="0"/>
              <w:bottom w:val="single" w:color="000000" w:sz="4"/>
              <w:right w:val="none" w:color="FFFFFF" w:sz="0"/>
            </w:tcBorders>
            <w:tcMar>
              <w:top w:type="dxa" w:w="100"/>
              <w:left w:type="dxa" w:w="120"/>
              <w:bottom w:type="dxa" w:w="100"/>
              <w:right w:type="dxa" w:w="120"/>
            </w:tcMar>
          </w:tcPr>
          <w:p>
            <w:pPr>
              <w:spacing w:after="60"/>
            </w:pPr>
            <w:r>
              <w:rPr>
                <w:rFonts w:ascii="Times New Roman" w:cs="Times New Roman" w:eastAsia="Times New Roman" w:hAnsi="Times New Roman"/>
                <w:b/>
                <w:bCs/>
                <w:sz w:val="19"/>
                <w:szCs w:val="19"/>
              </w:rPr>
              <w:t xml:space="preserve">Algorithm 3  RESPOND: regime reset, updater re-initialisation and optional recall</w:t>
            </w:r>
          </w:p>
          <w:p>
            <w:pPr>
              <w:spacing w:after="0" w:line="260"/>
              <w:ind w:left="0"/>
            </w:pPr>
            <w:r>
              <w:rPr>
                <w:rFonts w:ascii="Times New Roman" w:cs="Times New Roman" w:eastAsia="Times New Roman" w:hAnsi="Times New Roman"/>
                <w:b/>
                <w:bCs/>
                <w:sz w:val="18"/>
                <w:szCs w:val="18"/>
              </w:rPr>
              <w:t xml:space="preserve">Input:</w:t>
            </w:r>
            <w:r>
              <w:rPr>
                <w:rFonts w:ascii="Times New Roman" w:cs="Times New Roman" w:eastAsia="Times New Roman" w:hAnsi="Times New Roman"/>
                <w:sz w:val="18"/>
                <w:szCs w:val="18"/>
              </w:rPr>
              <w:t xml:space="preserve"> localised change point ĉ; ordered regime scores S; recalled scores 𝓜 (possibly empty); inner updater 𝒰; window W; memory settings (n</w:t>
            </w:r>
            <w:r>
              <w:rPr>
                <w:rFonts w:ascii="Times New Roman" w:cs="Times New Roman" w:eastAsia="Times New Roman" w:hAnsi="Times New Roman"/>
                <w:sz w:val="18"/>
                <w:szCs w:val="18"/>
                <w:vertAlign w:val="subscript"/>
              </w:rPr>
              <w:t xml:space="preserve">match</w:t>
            </w:r>
            <w:r>
              <w:rPr>
                <w:rFonts w:ascii="Times New Roman" w:cs="Times New Roman" w:eastAsia="Times New Roman" w:hAnsi="Times New Roman"/>
                <w:sz w:val="18"/>
                <w:szCs w:val="18"/>
              </w:rPr>
              <w:t xml:space="preserve">, ρ, B).</w:t>
            </w:r>
          </w:p>
          <w:p>
            <w:pPr>
              <w:spacing w:after="0" w:line="260"/>
              <w:ind w:left="0"/>
            </w:pPr>
            <w:r>
              <w:rPr>
                <w:rFonts w:ascii="Times New Roman" w:cs="Times New Roman" w:eastAsia="Times New Roman" w:hAnsi="Times New Roman"/>
                <w:sz w:val="18"/>
                <w:szCs w:val="18"/>
              </w:rPr>
              <w:t xml:space="preserve">S</w:t>
            </w:r>
            <w:r>
              <w:rPr>
                <w:rFonts w:ascii="Times New Roman" w:cs="Times New Roman" w:eastAsia="Times New Roman" w:hAnsi="Times New Roman"/>
                <w:sz w:val="18"/>
                <w:szCs w:val="18"/>
                <w:vertAlign w:val="subscript"/>
              </w:rPr>
              <w:t xml:space="preserve">pre</w:t>
            </w:r>
            <w:r>
              <w:rPr>
                <w:rFonts w:ascii="Times New Roman" w:cs="Times New Roman" w:eastAsia="Times New Roman" w:hAnsi="Times New Roman"/>
                <w:sz w:val="18"/>
                <w:szCs w:val="18"/>
              </w:rPr>
              <w:t xml:space="preserve"> ← scores of S before ĉ;  S</w:t>
            </w:r>
            <w:r>
              <w:rPr>
                <w:rFonts w:ascii="Times New Roman" w:cs="Times New Roman" w:eastAsia="Times New Roman" w:hAnsi="Times New Roman"/>
                <w:sz w:val="18"/>
                <w:szCs w:val="18"/>
                <w:vertAlign w:val="subscript"/>
              </w:rPr>
              <w:t xml:space="preserve">post</w:t>
            </w:r>
            <w:r>
              <w:rPr>
                <w:rFonts w:ascii="Times New Roman" w:cs="Times New Roman" w:eastAsia="Times New Roman" w:hAnsi="Times New Roman"/>
                <w:sz w:val="18"/>
                <w:szCs w:val="18"/>
              </w:rPr>
              <w:t xml:space="preserve"> ← last W scores of S from ĉ onward</w:t>
            </w:r>
          </w:p>
          <w:p>
            <w:pPr>
              <w:spacing w:after="0" w:line="260"/>
              <w:ind w:left="0"/>
            </w:pPr>
            <w:r>
              <w:rPr>
                <w:rFonts w:ascii="Times New Roman" w:cs="Times New Roman" w:eastAsia="Times New Roman" w:hAnsi="Times New Roman"/>
                <w:sz w:val="18"/>
                <w:szCs w:val="18"/>
              </w:rPr>
              <w:t xml:space="preserve">𝓑</w:t>
            </w:r>
            <w:r>
              <w:rPr>
                <w:rFonts w:ascii="Times New Roman" w:cs="Times New Roman" w:eastAsia="Times New Roman" w:hAnsi="Times New Roman"/>
                <w:sz w:val="18"/>
                <w:szCs w:val="18"/>
                <w:vertAlign w:val="subscript"/>
              </w:rPr>
              <w:t xml:space="preserve">prev</w:t>
            </w:r>
            <w:r>
              <w:rPr>
                <w:rFonts w:ascii="Times New Roman" w:cs="Times New Roman" w:eastAsia="Times New Roman" w:hAnsi="Times New Roman"/>
                <w:sz w:val="18"/>
                <w:szCs w:val="18"/>
              </w:rPr>
              <w:t xml:space="preserve"> ← last W scores of (𝓜 ⧺ S</w:t>
            </w:r>
            <w:r>
              <w:rPr>
                <w:rFonts w:ascii="Times New Roman" w:cs="Times New Roman" w:eastAsia="Times New Roman" w:hAnsi="Times New Roman"/>
                <w:sz w:val="18"/>
                <w:szCs w:val="18"/>
                <w:vertAlign w:val="subscript"/>
              </w:rPr>
              <w:t xml:space="preserve">pre</w:t>
            </w:r>
            <w:r>
              <w:rPr>
                <w:rFonts w:ascii="Times New Roman" w:cs="Times New Roman" w:eastAsia="Times New Roman" w:hAnsi="Times New Roman"/>
                <w:sz w:val="18"/>
                <w:szCs w:val="18"/>
              </w:rPr>
              <w:t xml:space="preserve">)                       ▷ previous regime, used by the bridge, Eq. (7)</w:t>
            </w:r>
          </w:p>
          <w:p>
            <w:pPr>
              <w:spacing w:after="0" w:line="260"/>
              <w:ind w:left="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memory </w:t>
            </w:r>
            <w:r>
              <w:rPr>
                <w:rFonts w:ascii="Times New Roman" w:cs="Times New Roman" w:eastAsia="Times New Roman" w:hAnsi="Times New Roman"/>
                <w:b/>
                <w:bCs/>
                <w:sz w:val="18"/>
                <w:szCs w:val="18"/>
              </w:rPr>
              <w:t xml:space="preserve">and</w:t>
            </w:r>
            <w:r>
              <w:rPr>
                <w:rFonts w:ascii="Times New Roman" w:cs="Times New Roman" w:eastAsia="Times New Roman" w:hAnsi="Times New Roman"/>
                <w:sz w:val="18"/>
                <w:szCs w:val="18"/>
              </w:rPr>
              <w:t xml:space="preserve"> |𝓑</w:t>
            </w:r>
            <w:r>
              <w:rPr>
                <w:rFonts w:ascii="Times New Roman" w:cs="Times New Roman" w:eastAsia="Times New Roman" w:hAnsi="Times New Roman"/>
                <w:sz w:val="18"/>
                <w:szCs w:val="18"/>
                <w:vertAlign w:val="subscript"/>
              </w:rPr>
              <w:t xml:space="preserve">prev</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match</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push (𝓑</w:t>
            </w:r>
            <w:r>
              <w:rPr>
                <w:rFonts w:ascii="Times New Roman" w:cs="Times New Roman" w:eastAsia="Times New Roman" w:hAnsi="Times New Roman"/>
                <w:sz w:val="18"/>
                <w:szCs w:val="18"/>
                <w:vertAlign w:val="subscript"/>
              </w:rPr>
              <w:t xml:space="preserve">prev</w:t>
            </w:r>
            <w:r>
              <w:rPr>
                <w:rFonts w:ascii="Times New Roman" w:cs="Times New Roman" w:eastAsia="Times New Roman" w:hAnsi="Times New Roman"/>
                <w:sz w:val="18"/>
                <w:szCs w:val="18"/>
              </w:rPr>
              <w:t xml:space="preserve">, state of 𝒰) to bank; keep the last B entries</w:t>
            </w:r>
          </w:p>
          <w:p>
            <w:pPr>
              <w:spacing w:after="0" w:line="260"/>
              <w:ind w:left="0"/>
            </w:pPr>
            <w:r>
              <w:rPr>
                <w:rFonts w:ascii="Times New Roman" w:cs="Times New Roman" w:eastAsia="Times New Roman" w:hAnsi="Times New Roman"/>
                <w:sz w:val="18"/>
                <w:szCs w:val="18"/>
              </w:rPr>
              <w:t xml:space="preserve">𝓑 ← S</w:t>
            </w:r>
            <w:r>
              <w:rPr>
                <w:rFonts w:ascii="Times New Roman" w:cs="Times New Roman" w:eastAsia="Times New Roman" w:hAnsi="Times New Roman"/>
                <w:sz w:val="18"/>
                <w:szCs w:val="18"/>
                <w:vertAlign w:val="subscript"/>
              </w:rPr>
              <w:t xml:space="preserve">post</w:t>
            </w:r>
            <w:r>
              <w:rPr>
                <w:rFonts w:ascii="Times New Roman" w:cs="Times New Roman" w:eastAsia="Times New Roman" w:hAnsi="Times New Roman"/>
                <w:sz w:val="18"/>
                <w:szCs w:val="18"/>
              </w:rPr>
              <w:t xml:space="preserve">;  𝓗 ← sort(S</w:t>
            </w:r>
            <w:r>
              <w:rPr>
                <w:rFonts w:ascii="Times New Roman" w:cs="Times New Roman" w:eastAsia="Times New Roman" w:hAnsi="Times New Roman"/>
                <w:sz w:val="18"/>
                <w:szCs w:val="18"/>
                <w:vertAlign w:val="subscript"/>
              </w:rPr>
              <w:t xml:space="preserve">post</w:t>
            </w:r>
            <w:r>
              <w:rPr>
                <w:rFonts w:ascii="Times New Roman" w:cs="Times New Roman" w:eastAsia="Times New Roman" w:hAnsi="Times New Roman"/>
                <w:sz w:val="18"/>
                <w:szCs w:val="18"/>
              </w:rPr>
              <w:t xml:space="preserve">);  C ← (1/3, 1/3, 1/3);  path ← [0];  𝓜 ← ∅</w:t>
            </w:r>
          </w:p>
          <w:p>
            <w:pPr>
              <w:spacing w:after="0" w:line="260"/>
              <w:ind w:left="0"/>
            </w:pPr>
            <w:r>
              <w:rPr>
                <w:rFonts w:ascii="Times New Roman" w:cs="Times New Roman" w:eastAsia="Times New Roman" w:hAnsi="Times New Roman"/>
                <w:sz w:val="18"/>
                <w:szCs w:val="18"/>
              </w:rPr>
              <w:t xml:space="preserve">re-initialise 𝒰:  ACI: α</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α;  QT: q</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Q(𝓑; α) (max 𝓑 if infinite);  DtACI: expert levels ← α, keep weights</w:t>
            </w:r>
          </w:p>
          <w:p>
            <w:pPr>
              <w:spacing w:after="0" w:line="260"/>
              <w:ind w:left="0"/>
            </w:pPr>
            <w:r>
              <w:rPr>
                <w:rFonts w:ascii="Times New Roman" w:cs="Times New Roman" w:eastAsia="Times New Roman" w:hAnsi="Times New Roman"/>
                <w:sz w:val="18"/>
                <w:szCs w:val="18"/>
              </w:rPr>
              <w:t xml:space="preserve">mark bridge active for the next n</w:t>
            </w:r>
            <w:r>
              <w:rPr>
                <w:rFonts w:ascii="Times New Roman" w:cs="Times New Roman" w:eastAsia="Times New Roman" w:hAnsi="Times New Roman"/>
                <w:sz w:val="18"/>
                <w:szCs w:val="18"/>
                <w:vertAlign w:val="subscript"/>
              </w:rPr>
              <w:t xml:space="preserve">min</w:t>
            </w:r>
            <w:r>
              <w:rPr>
                <w:rFonts w:ascii="Times New Roman" w:cs="Times New Roman" w:eastAsia="Times New Roman" w:hAnsi="Times New Roman"/>
                <w:sz w:val="18"/>
                <w:szCs w:val="18"/>
              </w:rPr>
              <w:t xml:space="preserve"> scores;  recall_tried ← false</w:t>
            </w:r>
          </w:p>
          <w:p>
            <w:pPr>
              <w:spacing w:after="0" w:line="260"/>
              <w:ind w:left="0"/>
            </w:pPr>
            <w:r>
              <w:rPr>
                <w:rFonts w:ascii="Times New Roman" w:cs="Times New Roman" w:eastAsia="Times New Roman" w:hAnsi="Times New Roman"/>
                <w:b/>
                <w:bCs/>
                <w:sz w:val="18"/>
                <w:szCs w:val="18"/>
              </w:rPr>
              <w:t xml:space="preserve">procedure</w:t>
            </w:r>
            <w:r>
              <w:rPr>
                <w:rFonts w:ascii="Times New Roman" w:cs="Times New Roman" w:eastAsia="Times New Roman" w:hAnsi="Times New Roman"/>
                <w:sz w:val="18"/>
                <w:szCs w:val="18"/>
              </w:rPr>
              <w:t xml:space="preserve"> RECALL (called once |𝓗| ≥ n</w:t>
            </w:r>
            <w:r>
              <w:rPr>
                <w:rFonts w:ascii="Times New Roman" w:cs="Times New Roman" w:eastAsia="Times New Roman" w:hAnsi="Times New Roman"/>
                <w:sz w:val="18"/>
                <w:szCs w:val="18"/>
                <w:vertAlign w:val="subscript"/>
              </w:rPr>
              <w:t xml:space="preserve">match</w:t>
            </w:r>
            <w:r>
              <w:rPr>
                <w:rFonts w:ascii="Times New Roman" w:cs="Times New Roman" w:eastAsia="Times New Roman" w:hAnsi="Times New Roman"/>
                <w:sz w:val="18"/>
                <w:szCs w:val="18"/>
              </w:rPr>
              <w:t xml:space="preserve"> and recall_tried = false)</w:t>
            </w:r>
          </w:p>
          <w:p>
            <w:pPr>
              <w:spacing w:after="0" w:line="260"/>
              <w:ind w:left="240"/>
            </w:pPr>
            <w:r>
              <w:rPr>
                <w:rFonts w:ascii="Times New Roman" w:cs="Times New Roman" w:eastAsia="Times New Roman" w:hAnsi="Times New Roman"/>
                <w:sz w:val="18"/>
                <w:szCs w:val="18"/>
              </w:rPr>
              <w:t xml:space="preserve">recall_tried ← true;  j′ ← argmax</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KS-p(𝓗, bank</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two-sample Kolmogorov–Smirnov p-value</w:t>
            </w:r>
          </w:p>
          <w:p>
            <w:pPr>
              <w:spacing w:after="0" w:line="260"/>
              <w:ind w:left="24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KS-p(𝓗, bank</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&gt; ρ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𝓜 ← scores of bank</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𝓑 ← 𝓜 ⧺ 𝓑;  restore 𝒰 state;  remove bank</w:t>
            </w:r>
            <w:r>
              <w:rPr>
                <w:rFonts w:ascii="Times New Roman" w:cs="Times New Roman" w:eastAsia="Times New Roman" w:hAnsi="Times New Roman"/>
                <w:sz w:val="18"/>
                <w:szCs w:val="18"/>
                <w:vertAlign w:val="subscript"/>
              </w:rPr>
              <w:t xml:space="preserve">j′</w:t>
            </w:r>
          </w:p>
          <w:p>
            <w:pPr>
              <w:spacing w:after="0" w:line="260"/>
              <w:ind w:left="0"/>
            </w:pPr>
            <w:r>
              <w:rPr>
                <w:rFonts w:ascii="Times New Roman" w:cs="Times New Roman" w:eastAsia="Times New Roman" w:hAnsi="Times New Roman"/>
                <w:sz w:val="18"/>
                <w:szCs w:val="18"/>
              </w:rPr>
              <w:t xml:space="preserve">▷ recalled scores enter 𝓑 but never 𝓗, so recall cannot affect false-alarm control</w:t>
            </w:r>
          </w:p>
        </w:tc>
      </w:tr>
    </w:tbl>
    <w:p>
      <w:pPr>
        <w:spacing w:after="160"/>
      </w:pPr>
    </w:p>
    <w:p>
      <w:pPr>
        <w:pStyle w:val="Heading2"/>
        <w:spacing w:after="100" w:before="200"/>
      </w:pPr>
      <w:r>
        <w:rPr>
          <w:rFonts w:ascii="Times New Roman" w:cs="Times New Roman" w:eastAsia="Times New Roman" w:hAnsi="Times New Roman"/>
        </w:rPr>
        <w:t xml:space="preserve">4.5 Optional regime memory</w:t>
      </w:r>
    </w:p>
    <w:p>
      <w:pPr>
        <w:spacing w:after="120" w:line="300"/>
        <w:jc w:val="both"/>
      </w:pPr>
      <w:r>
        <w:rPr>
          <w:rFonts w:ascii="Times New Roman" w:cs="Times New Roman" w:eastAsia="Times New Roman" w:hAnsi="Times New Roman"/>
        </w:rPr>
        <w:t xml:space="preserve">Many streams revisit earlier regimes (weekday/weekend demand, machine operating modes). MARS-CP can store each closed regime (its last W scores and final updater level) in a bank of capacity B. Once the new regime holds n</w:t>
      </w:r>
      <w:r>
        <w:rPr>
          <w:rFonts w:ascii="Times New Roman" w:cs="Times New Roman" w:eastAsia="Times New Roman" w:hAnsi="Times New Roman"/>
          <w:vertAlign w:val="subscript"/>
        </w:rPr>
        <w:t xml:space="preserve">match</w:t>
      </w:r>
      <w:r>
        <w:rPr>
          <w:rFonts w:ascii="Times New Roman" w:cs="Times New Roman" w:eastAsia="Times New Roman" w:hAnsi="Times New Roman"/>
        </w:rPr>
        <w:t xml:space="preserve"> scores, a two-sample Kolmogorov–Smirnov test compares it with every banked regime; if the largest p-value exceeds a recall threshold ρ, the matched scores are prepended to the calibration buffer and the updater state is restored. Only one recall attempt is made per regime, so that the KS tests do not become a multiple-testing problem. Recalled scores enter the calibration buffer but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the martingale history, so recall cannot affect false-alarm control.</w:t>
      </w:r>
    </w:p>
    <w:p>
      <w:pPr>
        <w:pStyle w:val="Heading2"/>
        <w:spacing w:after="100" w:before="200"/>
      </w:pPr>
      <w:r>
        <w:rPr>
          <w:rFonts w:ascii="Times New Roman" w:cs="Times New Roman" w:eastAsia="Times New Roman" w:hAnsi="Times New Roman"/>
        </w:rPr>
        <w:t xml:space="preserve">4.6 Complete procedure and complexity</w:t>
      </w:r>
    </w:p>
    <w:p>
      <w:pPr>
        <w:spacing w:after="120" w:line="300"/>
        <w:jc w:val="both"/>
      </w:pPr>
      <w:r>
        <w:rPr>
          <w:rFonts w:ascii="Times New Roman" w:cs="Times New Roman" w:eastAsia="Times New Roman" w:hAnsi="Times New Roman"/>
        </w:rPr>
        <w:t xml:space="preserve">Algorithm 1 gives the complete procedure, calling Algorithm 2 at every step and Algorithm 3 on every alarm. Per step, the p-value and insertion cost O(log n) comparisons plus an O(n) list insertion, the conformal quantile costs O(W) by selection, and the martingale update is O(1). The response path costs O(n) per alarm, and each recall attempt O(B·W log W). The measured overhead is below 0.1 ms per step for every inner updater (Sect. 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none" w:color="FFFFFF" w:sz="0"/>
              <w:bottom w:val="single" w:color="000000" w:sz="4"/>
              <w:right w:val="none" w:color="FFFFFF" w:sz="0"/>
            </w:tcBorders>
            <w:tcMar>
              <w:top w:type="dxa" w:w="100"/>
              <w:left w:type="dxa" w:w="120"/>
              <w:bottom w:type="dxa" w:w="100"/>
              <w:right w:type="dxa" w:w="120"/>
            </w:tcMar>
          </w:tcPr>
          <w:p>
            <w:pPr>
              <w:spacing w:after="60"/>
            </w:pPr>
            <w:r>
              <w:rPr>
                <w:rFonts w:ascii="Times New Roman" w:cs="Times New Roman" w:eastAsia="Times New Roman" w:hAnsi="Times New Roman"/>
                <w:b/>
                <w:bCs/>
                <w:sz w:val="19"/>
                <w:szCs w:val="19"/>
              </w:rPr>
              <w:t xml:space="preserve">Algorithm 1  MARS-CP (wrapping an inner updater 𝒰 ∈ {ACI, QT, DtACI})</w:t>
            </w:r>
          </w:p>
          <w:p>
            <w:pPr>
              <w:spacing w:after="0" w:line="260"/>
              <w:ind w:left="0"/>
            </w:pPr>
            <w:r>
              <w:rPr>
                <w:rFonts w:ascii="Times New Roman" w:cs="Times New Roman" w:eastAsia="Times New Roman" w:hAnsi="Times New Roman"/>
                <w:b/>
                <w:bCs/>
                <w:sz w:val="18"/>
                <w:szCs w:val="18"/>
              </w:rPr>
              <w:t xml:space="preserve">Input:</w:t>
            </w:r>
            <w:r>
              <w:rPr>
                <w:rFonts w:ascii="Times New Roman" w:cs="Times New Roman" w:eastAsia="Times New Roman" w:hAnsi="Times New Roman"/>
                <w:sz w:val="18"/>
                <w:szCs w:val="18"/>
              </w:rPr>
              <w:t xml:space="preserve"> target α; window W; false-alarm budget δ; jumper rate J; bridge length n</w:t>
            </w:r>
            <w:r>
              <w:rPr>
                <w:rFonts w:ascii="Times New Roman" w:cs="Times New Roman" w:eastAsia="Times New Roman" w:hAnsi="Times New Roman"/>
                <w:sz w:val="18"/>
                <w:szCs w:val="18"/>
                <w:vertAlign w:val="subscript"/>
              </w:rPr>
              <w:t xml:space="preserve">min</w:t>
            </w:r>
            <w:r>
              <w:rPr>
                <w:rFonts w:ascii="Times New Roman" w:cs="Times New Roman" w:eastAsia="Times New Roman" w:hAnsi="Times New Roman"/>
                <w:sz w:val="18"/>
                <w:szCs w:val="18"/>
              </w:rPr>
              <w:t xml:space="preserve">; memory flag, n</w:t>
            </w:r>
            <w:r>
              <w:rPr>
                <w:rFonts w:ascii="Times New Roman" w:cs="Times New Roman" w:eastAsia="Times New Roman" w:hAnsi="Times New Roman"/>
                <w:sz w:val="18"/>
                <w:szCs w:val="18"/>
                <w:vertAlign w:val="subscript"/>
              </w:rPr>
              <w:t xml:space="preserve">match</w:t>
            </w:r>
            <w:r>
              <w:rPr>
                <w:rFonts w:ascii="Times New Roman" w:cs="Times New Roman" w:eastAsia="Times New Roman" w:hAnsi="Times New Roman"/>
                <w:sz w:val="18"/>
                <w:szCs w:val="18"/>
              </w:rPr>
              <w:t xml:space="preserve">, ρ, B; initial scores s</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 s</w:t>
            </w:r>
            <w:r>
              <w:rPr>
                <w:rFonts w:ascii="Times New Roman" w:cs="Times New Roman" w:eastAsia="Times New Roman" w:hAnsi="Times New Roman"/>
                <w:sz w:val="18"/>
                <w:szCs w:val="18"/>
                <w:vertAlign w:val="subscript"/>
              </w:rPr>
              <w:t xml:space="preserve">n₀</w:t>
            </w:r>
            <w:r>
              <w:rPr>
                <w:rFonts w:ascii="Times New Roman" w:cs="Times New Roman" w:eastAsia="Times New Roman" w:hAnsi="Times New Roman"/>
                <w:sz w:val="18"/>
                <w:szCs w:val="18"/>
              </w:rPr>
              <w:t xml:space="preserve">.</w:t>
            </w:r>
          </w:p>
          <w:p>
            <w:pPr>
              <w:spacing w:after="0" w:line="260"/>
              <w:ind w:left="0"/>
            </w:pPr>
            <w:r>
              <w:rPr>
                <w:rFonts w:ascii="Times New Roman" w:cs="Times New Roman" w:eastAsia="Times New Roman" w:hAnsi="Times New Roman"/>
                <w:b/>
                <w:bCs/>
                <w:sz w:val="18"/>
                <w:szCs w:val="18"/>
              </w:rPr>
              <w:t xml:space="preserve">Init:</w:t>
            </w:r>
            <w:r>
              <w:rPr>
                <w:rFonts w:ascii="Times New Roman" w:cs="Times New Roman" w:eastAsia="Times New Roman" w:hAnsi="Times New Roman"/>
                <w:sz w:val="18"/>
                <w:szCs w:val="18"/>
              </w:rPr>
              <w:t xml:space="preserve"> 𝓑 ← last W initial scores; 𝓗 ← sorted initial scores; C ← (1/3, 1/3, 1/3); path ← [0]; bank ← ∅; 𝓑</w:t>
            </w:r>
            <w:r>
              <w:rPr>
                <w:rFonts w:ascii="Times New Roman" w:cs="Times New Roman" w:eastAsia="Times New Roman" w:hAnsi="Times New Roman"/>
                <w:sz w:val="18"/>
                <w:szCs w:val="18"/>
                <w:vertAlign w:val="subscript"/>
              </w:rPr>
              <w:t xml:space="preserve">prev</w:t>
            </w:r>
            <w:r>
              <w:rPr>
                <w:rFonts w:ascii="Times New Roman" w:cs="Times New Roman" w:eastAsia="Times New Roman" w:hAnsi="Times New Roman"/>
                <w:sz w:val="18"/>
                <w:szCs w:val="18"/>
              </w:rPr>
              <w:t xml:space="preserve"> ← ∅; initialise 𝒰.</w:t>
            </w:r>
          </w:p>
          <w:p>
            <w:pPr>
              <w:spacing w:after="0" w:line="260"/>
              <w:ind w:left="0"/>
            </w:pP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t = n₀+1, n₀+2, … </w:t>
            </w:r>
            <w:r>
              <w:rPr>
                <w:rFonts w:ascii="Times New Roman" w:cs="Times New Roman" w:eastAsia="Times New Roman" w:hAnsi="Times New Roman"/>
                <w:b/>
                <w:bCs/>
                <w:sz w:val="18"/>
                <w:szCs w:val="18"/>
              </w:rPr>
              <w:t xml:space="preserve">do</w:t>
            </w:r>
          </w:p>
          <w:p>
            <w:pPr>
              <w:spacing w:after="0" w:line="260"/>
              <w:ind w:left="240"/>
            </w:pPr>
            <w:r>
              <w:rPr>
                <w:rFonts w:ascii="Times New Roman" w:cs="Times New Roman" w:eastAsia="Times New Roman" w:hAnsi="Times New Roman"/>
                <w:sz w:val="18"/>
                <w:szCs w:val="18"/>
              </w:rPr>
              <w:t xml:space="preserve">q</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𝒰.threshold(𝓑)                                ▷ Eq. (2)/(3), QT or DtACI rule</w:t>
            </w:r>
          </w:p>
          <w:p>
            <w:pPr>
              <w:spacing w:after="0" w:line="260"/>
              <w:ind w:left="24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bridge active </w:t>
            </w:r>
            <w:r>
              <w:rPr>
                <w:rFonts w:ascii="Times New Roman" w:cs="Times New Roman" w:eastAsia="Times New Roman" w:hAnsi="Times New Roman"/>
                <w:b/>
                <w:bCs/>
                <w:sz w:val="18"/>
                <w:szCs w:val="18"/>
              </w:rPr>
              <w:t xml:space="preserve">and</w:t>
            </w:r>
            <w:r>
              <w:rPr>
                <w:rFonts w:ascii="Times New Roman" w:cs="Times New Roman" w:eastAsia="Times New Roman" w:hAnsi="Times New Roman"/>
                <w:sz w:val="18"/>
                <w:szCs w:val="18"/>
              </w:rPr>
              <w:t xml:space="preserve"> no recall in this regime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apply the conservative bridge, Eq. (7)</w:t>
            </w:r>
          </w:p>
          <w:p>
            <w:pPr>
              <w:spacing w:after="0" w:line="260"/>
              <w:ind w:left="240"/>
            </w:pPr>
            <w:r>
              <w:rPr>
                <w:rFonts w:ascii="Times New Roman" w:cs="Times New Roman" w:eastAsia="Times New Roman" w:hAnsi="Times New Roman"/>
                <w:sz w:val="18"/>
                <w:szCs w:val="18"/>
              </w:rPr>
              <w:t xml:space="preserve">output Ĉ</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 f̂</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(X</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q</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observe Y</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|Y</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f̂</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(X</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err</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 𝟙{s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&gt; q</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w:t>
            </w:r>
          </w:p>
          <w:p>
            <w:pPr>
              <w:spacing w:after="0" w:line="260"/>
              <w:ind w:left="240"/>
            </w:pPr>
            <w:r>
              <w:rPr>
                <w:rFonts w:ascii="Times New Roman" w:cs="Times New Roman" w:eastAsia="Times New Roman" w:hAnsi="Times New Roman"/>
                <w:sz w:val="18"/>
                <w:szCs w:val="18"/>
              </w:rPr>
              <w:t xml:space="preserve">𝒰.update(s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err</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insert 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into 𝓑 (keep the last W)</w:t>
            </w:r>
          </w:p>
          <w:p>
            <w:pPr>
              <w:spacing w:after="0" w:line="260"/>
              <w:ind w:left="240"/>
            </w:pPr>
            <w:r>
              <w:rPr>
                <w:rFonts w:ascii="Times New Roman" w:cs="Times New Roman" w:eastAsia="Times New Roman" w:hAnsi="Times New Roman"/>
                <w:sz w:val="18"/>
                <w:szCs w:val="18"/>
              </w:rPr>
              <w:t xml:space="preserve">(flag, ĉ) ← MONITOR(s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𝓗, C, path)                           ▷ Algorithm 2</w:t>
            </w:r>
          </w:p>
          <w:p>
            <w:pPr>
              <w:spacing w:after="0" w:line="260"/>
              <w:ind w:left="24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memory </w:t>
            </w:r>
            <w:r>
              <w:rPr>
                <w:rFonts w:ascii="Times New Roman" w:cs="Times New Roman" w:eastAsia="Times New Roman" w:hAnsi="Times New Roman"/>
                <w:b/>
                <w:bCs/>
                <w:sz w:val="18"/>
                <w:szCs w:val="18"/>
              </w:rPr>
              <w:t xml:space="preserve">and</w:t>
            </w:r>
            <w:r>
              <w:rPr>
                <w:rFonts w:ascii="Times New Roman" w:cs="Times New Roman" w:eastAsia="Times New Roman" w:hAnsi="Times New Roman"/>
                <w:sz w:val="18"/>
                <w:szCs w:val="18"/>
              </w:rPr>
              <w:t xml:space="preserve"> |𝓗| ≥ n</w:t>
            </w:r>
            <w:r>
              <w:rPr>
                <w:rFonts w:ascii="Times New Roman" w:cs="Times New Roman" w:eastAsia="Times New Roman" w:hAnsi="Times New Roman"/>
                <w:sz w:val="18"/>
                <w:szCs w:val="18"/>
                <w:vertAlign w:val="subscript"/>
              </w:rPr>
              <w:t xml:space="preserve">match</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and</w:t>
            </w:r>
            <w:r>
              <w:rPr>
                <w:rFonts w:ascii="Times New Roman" w:cs="Times New Roman" w:eastAsia="Times New Roman" w:hAnsi="Times New Roman"/>
                <w:sz w:val="18"/>
                <w:szCs w:val="18"/>
              </w:rPr>
              <w:t xml:space="preserve"> bank ≠ ∅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RECALL     ▷ Algorithm 3, at most once per regime</w:t>
            </w:r>
          </w:p>
          <w:p>
            <w:pPr>
              <w:spacing w:after="0" w:line="260"/>
              <w:ind w:left="240"/>
            </w:pP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flag = ALARM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RESPOND(ĉ, regime scores, 𝒰)              ▷ Algorithm 3</w:t>
            </w:r>
          </w:p>
          <w:p>
            <w:pPr>
              <w:spacing w:after="0" w:line="260"/>
              <w:ind w:left="0"/>
            </w:pPr>
            <w:r>
              <w:rPr>
                <w:rFonts w:ascii="Times New Roman" w:cs="Times New Roman" w:eastAsia="Times New Roman" w:hAnsi="Times New Roman"/>
                <w:b/>
                <w:bCs/>
                <w:sz w:val="18"/>
                <w:szCs w:val="18"/>
              </w:rPr>
              <w:t xml:space="preserve">end for</w:t>
            </w:r>
          </w:p>
        </w:tc>
      </w:tr>
    </w:tbl>
    <w:p>
      <w:pPr>
        <w:spacing w:after="160"/>
      </w:pPr>
    </w:p>
    <w:p>
      <w:pPr>
        <w:pStyle w:val="Heading1"/>
        <w:spacing w:after="140" w:before="280"/>
      </w:pPr>
      <w:r>
        <w:rPr>
          <w:rFonts w:ascii="Times New Roman" w:cs="Times New Roman" w:eastAsia="Times New Roman" w:hAnsi="Times New Roman"/>
        </w:rPr>
        <w:t xml:space="preserve">5 Theoretical Properties</w:t>
      </w:r>
    </w:p>
    <w:p>
      <w:pPr>
        <w:spacing w:after="120" w:line="300"/>
        <w:jc w:val="both"/>
      </w:pPr>
      <w:r>
        <w:rPr>
          <w:rFonts w:ascii="Times New Roman" w:cs="Times New Roman" w:eastAsia="Times New Roman" w:hAnsi="Times New Roman"/>
          <w:b/>
          <w:bCs/>
        </w:rPr>
        <w:t xml:space="preserve">Proposition 1 (Anytime false-alarm control).</w:t>
      </w:r>
      <w:r>
        <w:rPr>
          <w:rFonts w:ascii="Times New Roman" w:cs="Times New Roman" w:eastAsia="Times New Roman" w:hAnsi="Times New Roman"/>
        </w:rPr>
        <w:t xml:space="preserve"> Suppose that, from the opening of a regime onward, the scores are exchangeable and have a continuous distribution or ties are broken by the randomisation in Eq. (4). Then the probability that MARS-CP ever raises an alarm within that regime is at most δ, for any stopping rule and any horizon.</w:t>
      </w:r>
    </w:p>
    <w:p>
      <w:pPr>
        <w:spacing w:after="120" w:line="300"/>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Under exchangeability, smoothed conformal p-values computed against all previous scores in the sequence are independent and Unif(0,1) (Volkhonskiy et al., 2017; Vovk et al., 2005). MARS-CP computes 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against the full regime history 𝓗</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which includes the scores that opened the regime, so this condition holds. Each betting function g</w:t>
      </w:r>
      <w:r>
        <w:rPr>
          <w:rFonts w:ascii="Times New Roman" w:cs="Times New Roman" w:eastAsia="Times New Roman" w:hAnsi="Times New Roman"/>
          <w:vertAlign w:val="subscript"/>
        </w:rPr>
        <w:t xml:space="preserve">ε</w:t>
      </w:r>
      <w:r>
        <w:rPr>
          <w:rFonts w:ascii="Times New Roman" w:cs="Times New Roman" w:eastAsia="Times New Roman" w:hAnsi="Times New Roman"/>
        </w:rPr>
        <w:t xml:space="preserve">(p) = 1 + ε(p − 1/2) with |ε| ≤ 1 is nonnegative and integrates to one on [0,1]. The mixing step in Eq. (5) redistributes capital without changing its total, so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M</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·Σ</w:t>
      </w:r>
      <w:r>
        <w:rPr>
          <w:rFonts w:ascii="Times New Roman" w:cs="Times New Roman" w:eastAsia="Times New Roman" w:hAnsi="Times New Roman"/>
          <w:vertAlign w:val="subscript"/>
        </w:rPr>
        <w:t xml:space="preserve">ε</w:t>
      </w:r>
      <w:r>
        <w:rPr>
          <w:rFonts w:ascii="Times New Roman" w:cs="Times New Roman" w:eastAsia="Times New Roman" w:hAnsi="Times New Roman"/>
        </w:rPr>
        <w:t xml:space="preserve">w</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(ε)g</w:t>
      </w:r>
      <w:r>
        <w:rPr>
          <w:rFonts w:ascii="Times New Roman" w:cs="Times New Roman" w:eastAsia="Times New Roman" w:hAnsi="Times New Roman"/>
          <w:vertAlign w:val="subscript"/>
        </w:rPr>
        <w:t xml:space="preserve">ε</w:t>
      </w:r>
      <w:r>
        <w:rPr>
          <w:rFonts w:ascii="Times New Roman" w:cs="Times New Roman" w:eastAsia="Times New Roman" w:hAnsi="Times New Roman"/>
        </w:rPr>
        <w:t xml:space="preserve">(p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with predictable weights w</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summing to one. Hence E[M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past] = M</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and M is a nonnegative martingale with M</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 1. Ville’s inequality (Ville, 1939) gives P(∃t: M</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1/δ) ≤ δ. □</w:t>
      </w:r>
    </w:p>
    <w:p>
      <w:pPr>
        <w:spacing w:after="120" w:line="300"/>
        <w:jc w:val="both"/>
      </w:pPr>
      <w:r>
        <w:rPr>
          <w:rFonts w:ascii="Times New Roman" w:cs="Times New Roman" w:eastAsia="Times New Roman" w:hAnsi="Times New Roman"/>
          <w:b/>
          <w:bCs/>
        </w:rPr>
        <w:t xml:space="preserve">Corollary 1 (Conservativeness on exchangeable streams).</w:t>
      </w:r>
      <w:r>
        <w:rPr>
          <w:rFonts w:ascii="Times New Roman" w:cs="Times New Roman" w:eastAsia="Times New Roman" w:hAnsi="Times New Roman"/>
        </w:rPr>
        <w:t xml:space="preserve"> If the entire stream is exchangeable, then with probability at least 1 − δ MARS-CP never alarms, the memory bank remains empty, and its thresholds coincide with those of its inner updater run on the same size-W window.</w:t>
      </w:r>
    </w:p>
    <w:p>
      <w:pPr>
        <w:spacing w:after="120" w:line="300"/>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Without an alarm, no reset, bridge or recall is ever executed (recall requires a non-empty bank, which is filled only on alarms), so the prediction path is exactly the inner updater. The claim follows from Proposition 1. □</w:t>
      </w:r>
    </w:p>
    <w:p>
      <w:pPr>
        <w:spacing w:after="120" w:line="300"/>
        <w:jc w:val="both"/>
      </w:pPr>
      <w:r>
        <w:rPr>
          <w:rFonts w:ascii="Times New Roman" w:cs="Times New Roman" w:eastAsia="Times New Roman" w:hAnsi="Times New Roman"/>
          <w:b/>
          <w:bCs/>
        </w:rPr>
        <w:t xml:space="preserve">Proposition 2 (Long-run coverage, ACI inner updater).</w:t>
      </w:r>
      <w:r>
        <w:rPr>
          <w:rFonts w:ascii="Times New Roman" w:cs="Times New Roman" w:eastAsia="Times New Roman" w:hAnsi="Times New Roman"/>
        </w:rPr>
        <w:t xml:space="preserve"> Let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be the number of re-initialisations of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(alarms plus recalls) up to time T, and assume that scores are almost surely positive. For any sequence of data, MARS-CP with the ACI inner updater satisfies</w:t>
      </w:r>
    </w:p>
    <w:p>
      <w:pPr>
        <w:spacing w:after="120" w:before="80"/>
        <w:jc w:val="center"/>
      </w:pPr>
      <w:r>
        <w:rPr>
          <w:rFonts w:ascii="Times New Roman" w:cs="Times New Roman" w:eastAsia="Times New Roman" w:hAnsi="Times New Roman"/>
        </w:rPr>
        <w:t xml:space="preserve">| (1/T) Σ</w:t>
      </w:r>
      <w:r>
        <w:rPr>
          <w:rFonts w:ascii="Times New Roman" w:cs="Times New Roman" w:eastAsia="Times New Roman" w:hAnsi="Times New Roman"/>
          <w:vertAlign w:val="subscript"/>
        </w:rPr>
        <w:t xml:space="preserve">t=1</w:t>
      </w:r>
      <w:r>
        <w:rPr>
          <w:rFonts w:ascii="Times New Roman" w:cs="Times New Roman" w:eastAsia="Times New Roman" w:hAnsi="Times New Roman"/>
          <w:vertAlign w:val="superscript"/>
        </w:rPr>
        <w:t xml:space="preserve">T</w:t>
      </w:r>
      <w:r>
        <w:rPr>
          <w:rFonts w:ascii="Times New Roman" w:cs="Times New Roman" w:eastAsia="Times New Roman" w:hAnsi="Times New Roman"/>
        </w:rPr>
        <w:t xml:space="preserve">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α |  ≤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 (1 + (1 +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γ) / (γ T).</w:t>
      </w:r>
      <w:r>
        <w:rPr>
          <w:rFonts w:ascii="Times New Roman" w:cs="Times New Roman" w:eastAsia="Times New Roman" w:hAnsi="Times New Roman"/>
        </w:rPr>
        <w:t xml:space="preserve">		(8)</w:t>
      </w:r>
    </w:p>
    <w:p>
      <w:pPr>
        <w:spacing w:after="120" w:line="300"/>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Partition [1, T] into the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maximal segments on which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evolves by Eq. (3) without re-initialisation. On a segment [a, b], summing Eq. (3) gives Σ</w:t>
      </w:r>
      <w:r>
        <w:rPr>
          <w:rFonts w:ascii="Times New Roman" w:cs="Times New Roman" w:eastAsia="Times New Roman" w:hAnsi="Times New Roman"/>
          <w:vertAlign w:val="subscript"/>
        </w:rPr>
        <w:t xml:space="preserve">t=a</w:t>
      </w:r>
      <w:r>
        <w:rPr>
          <w:rFonts w:ascii="Times New Roman" w:cs="Times New Roman" w:eastAsia="Times New Roman" w:hAnsi="Times New Roman"/>
          <w:vertAlign w:val="superscript"/>
        </w:rPr>
        <w:t xml:space="preserve">b</w:t>
      </w:r>
      <w:r>
        <w:rPr>
          <w:rFonts w:ascii="Times New Roman" w:cs="Times New Roman" w:eastAsia="Times New Roman" w:hAnsi="Times New Roman"/>
        </w:rPr>
        <w:t xml:space="preserve">(err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α) = (α</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 α</w:t>
      </w:r>
      <w:r>
        <w:rPr>
          <w:rFonts w:ascii="Times New Roman" w:cs="Times New Roman" w:eastAsia="Times New Roman" w:hAnsi="Times New Roman"/>
          <w:vertAlign w:val="subscript"/>
        </w:rPr>
        <w:t xml:space="preserve">b+1</w:t>
      </w:r>
      <w:r>
        <w:rPr>
          <w:rFonts w:ascii="Times New Roman" w:cs="Times New Roman" w:eastAsia="Times New Roman" w:hAnsi="Times New Roman"/>
        </w:rPr>
        <w:t xml:space="preserve">)/γ. Re-initialisations set α to a value in [0, 1] (α itself, or a clipped banked level). Outside the bridge,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yields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 and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so α increases;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yields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and 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almost surely, so α decreases. Hence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[−γ, 1 + γ] there, as in Gibbs and Candès (2021). The bridge lasts at most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steps per segment, and each step changes α by at most γ·max(α, 1 − α) ≤ γ, so it can push α at most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γ further outside this interval. Therefore |α</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 α</w:t>
      </w:r>
      <w:r>
        <w:rPr>
          <w:rFonts w:ascii="Times New Roman" w:cs="Times New Roman" w:eastAsia="Times New Roman" w:hAnsi="Times New Roman"/>
          <w:vertAlign w:val="subscript"/>
        </w:rPr>
        <w:t xml:space="preserve">b+1</w:t>
      </w:r>
      <w:r>
        <w:rPr>
          <w:rFonts w:ascii="Times New Roman" w:cs="Times New Roman" w:eastAsia="Times New Roman" w:hAnsi="Times New Roman"/>
        </w:rPr>
        <w:t xml:space="preserve">| ≤ 1 + (1 +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)γ. Summing over segments and dividing by T gives Eq. (8). □</w:t>
      </w:r>
    </w:p>
    <w:p>
      <w:pPr>
        <w:spacing w:after="120" w:line="300"/>
        <w:jc w:val="both"/>
      </w:pPr>
      <w:r>
        <w:rPr>
          <w:rFonts w:ascii="Times New Roman" w:cs="Times New Roman" w:eastAsia="Times New Roman" w:hAnsi="Times New Roman"/>
          <w:b/>
          <w:bCs/>
        </w:rPr>
        <w:t xml:space="preserve">Remarks.</w:t>
      </w:r>
      <w:r>
        <w:rPr>
          <w:rFonts w:ascii="Times New Roman" w:cs="Times New Roman" w:eastAsia="Times New Roman" w:hAnsi="Times New Roman"/>
        </w:rPr>
        <w:t xml:space="preserve"> (i) Proposition 2 recovers the ACI bound (1 + γ)/(γT) when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and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 0, and gives long-run coverage whenever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o(T), for example when the number of genuine regime changes grows sublinearly (by Proposition 1, false alarms within exchangeable regimes are rare). (ii) Analogous segment-wise arguments apply to QT, whose threshold update q</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 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η</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(err</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α) telescopes in the same way, and to DtACI, whose guarantees (Gibbs &amp; Candès, 2024) hold on each segment. (iii) The guarantees concern marginal, long-run coverage. Like all methods in this family, MARS-CP offers no conditional coverage guarantee, which is attainable only in restricted senses even under exchangeability (Vovk, 2013); the local behaviour after a change is an empirical question addressed in Sect. 7.</w:t>
      </w:r>
    </w:p>
    <w:p>
      <w:pPr>
        <w:pStyle w:val="Heading1"/>
        <w:spacing w:after="140" w:before="280"/>
      </w:pPr>
      <w:r>
        <w:rPr>
          <w:rFonts w:ascii="Times New Roman" w:cs="Times New Roman" w:eastAsia="Times New Roman" w:hAnsi="Times New Roman"/>
        </w:rPr>
        <w:t xml:space="preserve">6 Experimental Setup</w:t>
      </w:r>
    </w:p>
    <w:p>
      <w:pPr>
        <w:spacing w:after="120" w:line="300"/>
        <w:jc w:val="both"/>
      </w:pPr>
      <w:r>
        <w:rPr>
          <w:rFonts w:ascii="Times New Roman" w:cs="Times New Roman" w:eastAsia="Times New Roman" w:hAnsi="Times New Roman"/>
        </w:rPr>
        <w:t xml:space="preserve">Figure 3 summarises the experimental pipeline. Every method receives the identical score stream, so differences between methods reflect only how they construct thresholds.</w:t>
      </w:r>
    </w:p>
    <w:p>
      <w:pPr>
        <w:keepNext/>
        <w:spacing w:before="120"/>
        <w:jc w:val="center"/>
      </w:pPr>
      <w:r>
        <w:drawing>
          <wp:inline distT="0" distB="0" distL="0" distR="0">
            <wp:extent cx="5715000" cy="3162300"/>
            <wp:effectExtent t="0" r="0" b="0" l="0"/>
            <wp:docPr id="1" name="fig3_pipeline.png" descr="Fig. 3 Experimental pipeline. Real streams pass through lag and calendar features and a sliding-refit gradient-boosting forecaster; synthetic streams use a known forecaster. The resulting score stream" title="Fig. 3 Experimental pipeline. Real streams pass through la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6230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3</w:t>
      </w:r>
      <w:r>
        <w:rPr>
          <w:rFonts w:ascii="Times New Roman" w:cs="Times New Roman" w:eastAsia="Times New Roman" w:hAnsi="Times New Roman"/>
          <w:sz w:val="19"/>
          <w:szCs w:val="19"/>
        </w:rPr>
        <w:t xml:space="preserve"> Experimental pipeline. Real streams pass through lag and calendar features and a sliding-refit gradient-boosting forecaster; synthetic streams use a known forecaster. The resulting score stream is fed identically to the baselines and to the MARS-CP wrappers, and all methods are scored with the same metrics and statistical tests. Hyperparameters were tuned on validation seeds and then frozen</w:t>
      </w:r>
    </w:p>
    <w:p>
      <w:pPr>
        <w:pStyle w:val="Heading2"/>
        <w:spacing w:after="100" w:before="200"/>
      </w:pPr>
      <w:r>
        <w:rPr>
          <w:rFonts w:ascii="Times New Roman" w:cs="Times New Roman" w:eastAsia="Times New Roman" w:hAnsi="Times New Roman"/>
        </w:rPr>
        <w:t xml:space="preserve">6.1 Synthetic streams</w:t>
      </w:r>
    </w:p>
    <w:p>
      <w:pPr>
        <w:spacing w:after="120" w:line="300"/>
        <w:jc w:val="both"/>
      </w:pPr>
      <w:r>
        <w:rPr>
          <w:rFonts w:ascii="Times New Roman" w:cs="Times New Roman" w:eastAsia="Times New Roman" w:hAnsi="Times New Roman"/>
        </w:rPr>
        <w:t xml:space="preserve">Covariates 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ℝ</w:t>
      </w:r>
      <w:r>
        <w:rPr>
          <w:rFonts w:ascii="Times New Roman" w:cs="Times New Roman" w:eastAsia="Times New Roman" w:hAnsi="Times New Roman"/>
          <w:vertAlign w:val="superscript"/>
        </w:rPr>
        <w:t xml:space="preserve">5</w:t>
      </w:r>
      <w:r>
        <w:rPr>
          <w:rFonts w:ascii="Times New Roman" w:cs="Times New Roman" w:eastAsia="Times New Roman" w:hAnsi="Times New Roman"/>
        </w:rPr>
        <w:t xml:space="preserve"> are standard Gaussian, the forecaster is the true regression function of the baseline regime, f̂(x) = x</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β with β = 𝟏/√5, and Y</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f̂(X</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b</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σ</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e</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with T = 10,000 steps and regimes of 1,250 steps. The four scenarios are: </w:t>
      </w:r>
      <w:r>
        <w:rPr>
          <w:rFonts w:ascii="Times New Roman" w:cs="Times New Roman" w:eastAsia="Times New Roman" w:hAnsi="Times New Roman"/>
          <w:b/>
          <w:bCs/>
        </w:rPr>
        <w:t xml:space="preserve">S1 Recurring-Abrupt</w:t>
      </w:r>
      <w:r>
        <w:rPr>
          <w:rFonts w:ascii="Times New Roman" w:cs="Times New Roman" w:eastAsia="Times New Roman" w:hAnsi="Times New Roman"/>
        </w:rPr>
        <w:t xml:space="preserve">, with noise scale σ following the pattern (1, 3, 1, 0.4) repeated twice, so that it contains both harder and easier shifts that recur; </w:t>
      </w:r>
      <w:r>
        <w:rPr>
          <w:rFonts w:ascii="Times New Roman" w:cs="Times New Roman" w:eastAsia="Times New Roman" w:hAnsi="Times New Roman"/>
          <w:b/>
          <w:bCs/>
        </w:rPr>
        <w:t xml:space="preserve">S2 Gradual</w:t>
      </w:r>
      <w:r>
        <w:rPr>
          <w:rFonts w:ascii="Times New Roman" w:cs="Times New Roman" w:eastAsia="Times New Roman" w:hAnsi="Times New Roman"/>
        </w:rPr>
        <w:t xml:space="preserve">, with σ</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1 + 0.75(1 − cos(2πt/5000)), a smooth periodic drift; </w:t>
      </w:r>
      <w:r>
        <w:rPr>
          <w:rFonts w:ascii="Times New Roman" w:cs="Times New Roman" w:eastAsia="Times New Roman" w:hAnsi="Times New Roman"/>
          <w:b/>
          <w:bCs/>
        </w:rPr>
        <w:t xml:space="preserve">S3 Stationary</w:t>
      </w:r>
      <w:r>
        <w:rPr>
          <w:rFonts w:ascii="Times New Roman" w:cs="Times New Roman" w:eastAsia="Times New Roman" w:hAnsi="Times New Roman"/>
        </w:rPr>
        <w:t xml:space="preserve">, with σ = 1 throughout, used to measure false alarms; and </w:t>
      </w:r>
      <w:r>
        <w:rPr>
          <w:rFonts w:ascii="Times New Roman" w:cs="Times New Roman" w:eastAsia="Times New Roman" w:hAnsi="Times New Roman"/>
          <w:b/>
          <w:bCs/>
        </w:rPr>
        <w:t xml:space="preserve">S4 Mixed-Recurring</w:t>
      </w:r>
      <w:r>
        <w:rPr>
          <w:rFonts w:ascii="Times New Roman" w:cs="Times New Roman" w:eastAsia="Times New Roman" w:hAnsi="Times New Roman"/>
        </w:rPr>
        <w:t xml:space="preserve">, with the pattern (baseline, bias b = 2, baseline, Student-t</w:t>
      </w:r>
      <w:r>
        <w:rPr>
          <w:rFonts w:ascii="Times New Roman" w:cs="Times New Roman" w:eastAsia="Times New Roman" w:hAnsi="Times New Roman"/>
          <w:vertAlign w:val="subscript"/>
        </w:rPr>
        <w:t xml:space="preserve">2.5</w:t>
      </w:r>
      <w:r>
        <w:rPr>
          <w:rFonts w:ascii="Times New Roman" w:cs="Times New Roman" w:eastAsia="Times New Roman" w:hAnsi="Times New Roman"/>
        </w:rPr>
        <w:t xml:space="preserve"> heavy-tailed noise) repeated twice. Each scenario is run with 20 test seeds (0–19).</w:t>
      </w:r>
    </w:p>
    <w:p>
      <w:pPr>
        <w:pStyle w:val="Heading2"/>
        <w:spacing w:after="100" w:before="200"/>
      </w:pPr>
      <w:r>
        <w:rPr>
          <w:rFonts w:ascii="Times New Roman" w:cs="Times New Roman" w:eastAsia="Times New Roman" w:hAnsi="Times New Roman"/>
        </w:rPr>
        <w:t xml:space="preserve">6.2 Real-world streams</w:t>
      </w:r>
    </w:p>
    <w:p>
      <w:pPr>
        <w:spacing w:after="120" w:line="300"/>
        <w:jc w:val="both"/>
      </w:pPr>
      <w:r>
        <w:rPr>
          <w:rFonts w:ascii="Times New Roman" w:cs="Times New Roman" w:eastAsia="Times New Roman" w:hAnsi="Times New Roman"/>
        </w:rPr>
        <w:t xml:space="preserve">We use four public streams that exhibit different forms of non-stationarity (Table 2). For each we build lagged features, and the base forecaster is a histogram gradient-boosting regressor (Pedregosa et al., 2011) refitted every 250 steps (90 for MelbTemp) on a trailing window of 3,000 observations, and used only for data after its training window. This produces genuinely online residuals whose distribution shifts both with the data and with each refit.</w:t>
      </w:r>
    </w:p>
    <w:p>
      <w:pPr>
        <w:keepNext/>
        <w:spacing w:after="60" w:before="160"/>
      </w:pPr>
      <w:r>
        <w:rPr>
          <w:rFonts w:ascii="Times New Roman" w:cs="Times New Roman" w:eastAsia="Times New Roman" w:hAnsi="Times New Roman"/>
          <w:b/>
          <w:bCs/>
          <w:sz w:val="19"/>
          <w:szCs w:val="19"/>
        </w:rPr>
        <w:t xml:space="preserve">Table 2</w:t>
      </w:r>
      <w:r>
        <w:rPr>
          <w:rFonts w:ascii="Times New Roman" w:cs="Times New Roman" w:eastAsia="Times New Roman" w:hAnsi="Times New Roman"/>
          <w:sz w:val="19"/>
          <w:szCs w:val="19"/>
        </w:rPr>
        <w:t xml:space="preserve"> Streams used in the experiments. Stream length counts points with forecaster outputs; the first 500 scores of each stream initialise every method and are excluded from evaluation</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1600"/>
        <w:gridCol w:w="1400"/>
        <w:gridCol w:w="1600"/>
        <w:gridCol w:w="2326"/>
        <w:gridCol w:w="1100"/>
        <w:gridCol w:w="1000"/>
      </w:tblGrid>
      <w:tr>
        <w:trPr>
          <w:cantSplit/>
          <w:tblHeader/>
        </w:trPr>
        <w:tc>
          <w:tcPr>
            <w:tcW w:type="dxa" w:w="16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1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Domain</w:t>
            </w:r>
          </w:p>
        </w:tc>
        <w:tc>
          <w:tcPr>
            <w:tcW w:type="dxa" w:w="16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Target (resolution)</w:t>
            </w:r>
          </w:p>
        </w:tc>
        <w:tc>
          <w:tcPr>
            <w:tcW w:type="dxa" w:w="23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Features</w:t>
            </w:r>
          </w:p>
        </w:tc>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Stream length</w:t>
            </w:r>
          </w:p>
        </w:tc>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Eval. steps</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 (Harries, 1999)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Electricity market (NSW)</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Normalised demand (30 min)</w:t>
            </w:r>
          </w:p>
        </w:tc>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lags 1,2,3,48,336; period sin/cos; lagged price, VIC demand, transfer</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42,976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42,476</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 (Hébrail &amp; Bérard, 2012)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Household consumption</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Global active power (1 h)</w:t>
            </w:r>
          </w:p>
        </w:tc>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lags 1,2,3,24,168; hour sin/cos; day of week</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31,921</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Climate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Daily min. temperature, Melbourne</w:t>
            </w:r>
          </w:p>
        </w:tc>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lags 1,2,3,7; day-of-year sin/cos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2,913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2,413</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 (Lavin &amp; Ahmad, 2015)</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Industrial IoT (NAB)</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Machine temperature (5 min)</w:t>
            </w:r>
          </w:p>
        </w:tc>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lags 1,2,3,6,12,288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19,907</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S1–S4</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Synthetic</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Linear-Gaussian with regimes</w:t>
            </w:r>
          </w:p>
        </w:tc>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 Gaussian covariates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9,500</w:t>
            </w:r>
          </w:p>
        </w:tc>
      </w:tr>
    </w:tbl>
    <w:p>
      <w:pPr>
        <w:spacing w:after="160"/>
      </w:pPr>
    </w:p>
    <w:p>
      <w:pPr>
        <w:pStyle w:val="Heading2"/>
        <w:spacing w:after="100" w:before="200"/>
      </w:pPr>
      <w:r>
        <w:rPr>
          <w:rFonts w:ascii="Times New Roman" w:cs="Times New Roman" w:eastAsia="Times New Roman" w:hAnsi="Times New Roman"/>
        </w:rPr>
        <w:t xml:space="preserve">6.3 Baselines and configuration</w:t>
      </w:r>
    </w:p>
    <w:p>
      <w:pPr>
        <w:spacing w:after="120" w:line="300"/>
        <w:jc w:val="both"/>
      </w:pPr>
      <w:r>
        <w:rPr>
          <w:rFonts w:ascii="Times New Roman" w:cs="Times New Roman" w:eastAsia="Times New Roman" w:hAnsi="Times New Roman"/>
        </w:rPr>
        <w:t xml:space="preserve">We compare split CP (fixed calibration on the initial 500 scores), rolling CP (W = 500), ACI (Gibbs &amp; Candès, 2021) (γ = 0.005, W = 500), the quantile tracker QT (the P-control step of conformal PID (Angelopoulos et al., 2023), learning rate 0.05 scaled by the maximum of the last 100 scores), and DtACI (Gibbs &amp; Candès, 2024) (eight step sizes from 0.001 to 0.128, interval length I = 100, weighted-average output). MARS-CP wraps each of ACI, QT and DtACI with the same inner hyperparameters, giving MARS(ACI), MARS(QT) and MARS(DtACI). Its own parameters are δ = 0.01, J = 0.01, W = 500,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 20, n</w:t>
      </w:r>
      <w:r>
        <w:rPr>
          <w:rFonts w:ascii="Times New Roman" w:cs="Times New Roman" w:eastAsia="Times New Roman" w:hAnsi="Times New Roman"/>
          <w:vertAlign w:val="subscript"/>
        </w:rPr>
        <w:t xml:space="preserve">match</w:t>
      </w:r>
      <w:r>
        <w:rPr>
          <w:rFonts w:ascii="Times New Roman" w:cs="Times New Roman" w:eastAsia="Times New Roman" w:hAnsi="Times New Roman"/>
        </w:rPr>
        <w:t xml:space="preserve"> = 30, ρ = 0.2 and B = 8, with memory enabled. These values, and the choice of the two-sided jumper without additional power-betting states, were selected on </w:t>
      </w:r>
      <w:r>
        <w:rPr>
          <w:rFonts w:ascii="Times New Roman" w:cs="Times New Roman" w:eastAsia="Times New Roman" w:hAnsi="Times New Roman"/>
          <w:b/>
          <w:bCs/>
        </w:rPr>
        <w:t xml:space="preserve">validation seeds 100–103</w:t>
      </w:r>
      <w:r>
        <w:rPr>
          <w:rFonts w:ascii="Times New Roman" w:cs="Times New Roman" w:eastAsia="Times New Roman" w:hAnsi="Times New Roman"/>
        </w:rPr>
        <w:t xml:space="preserve">, which are disjoint from the test seeds, and then frozen. The target is α = 0.1 unless stated otherwise.</w:t>
      </w:r>
    </w:p>
    <w:p>
      <w:pPr>
        <w:pStyle w:val="Heading2"/>
        <w:spacing w:after="100" w:before="200"/>
      </w:pPr>
      <w:r>
        <w:rPr>
          <w:rFonts w:ascii="Times New Roman" w:cs="Times New Roman" w:eastAsia="Times New Roman" w:hAnsi="Times New Roman"/>
        </w:rPr>
        <w:t xml:space="preserve">6.4 Implementation and statistics</w:t>
      </w:r>
    </w:p>
    <w:p>
      <w:pPr>
        <w:spacing w:after="120" w:line="300"/>
        <w:jc w:val="both"/>
      </w:pPr>
      <w:r>
        <w:rPr>
          <w:rFonts w:ascii="Times New Roman" w:cs="Times New Roman" w:eastAsia="Times New Roman" w:hAnsi="Times New Roman"/>
        </w:rPr>
        <w:t xml:space="preserve">All methods are implemented in Python 3 with NumPy, SciPy and scikit-learn (Pedregosa et al., 2011) and run on a single CPU core; all figures were produced with Matplotlib. Synthetic results are averaged over 20 seeds and compared by two-sided paired Wilcoxon signed-rank tests between each inner updater and its wrapped version. On real streams the baselines are deterministic, and MARS-CP’s only randomness is the tie-breaking variable U in Eq. (4); we report means over 5 seeds. The seed-to-seed standard deviation of coverage was at most 0.0015; that of width was small relative to the mean but reached 0.09 units on MachineTemp, so small width differences on that stream should be read with care.</w:t>
      </w:r>
    </w:p>
    <w:p>
      <w:pPr>
        <w:spacing w:after="120" w:line="300"/>
        <w:jc w:val="both"/>
      </w:pPr>
      <w:r>
        <w:rPr>
          <w:rFonts w:ascii="Times New Roman" w:cs="Times New Roman" w:eastAsia="Times New Roman" w:hAnsi="Times New Roman"/>
          <w:b/>
          <w:bCs/>
        </w:rPr>
        <w:t xml:space="preserve">Use of AI tools.</w:t>
      </w:r>
      <w:r>
        <w:rPr>
          <w:rFonts w:ascii="Times New Roman" w:cs="Times New Roman" w:eastAsia="Times New Roman" w:hAnsi="Times New Roman"/>
        </w:rPr>
        <w:t xml:space="preserve"> In accordance with the journal’s policy, we disclose that a large language model (Claude, Anthropic) was used to assist with the literature search, the implementation of the methods and experiment scripts, the execution of the experiments, and the drafting of this manuscript. All code, numerical results and text were reviewed and verified by the authors, who take full responsibility for the content of this article.</w:t>
      </w:r>
    </w:p>
    <w:p>
      <w:pPr>
        <w:pStyle w:val="Heading1"/>
        <w:spacing w:after="140" w:before="280"/>
      </w:pPr>
      <w:r>
        <w:rPr>
          <w:rFonts w:ascii="Times New Roman" w:cs="Times New Roman" w:eastAsia="Times New Roman" w:hAnsi="Times New Roman"/>
        </w:rPr>
        <w:t xml:space="preserve">7 Results</w:t>
      </w:r>
    </w:p>
    <w:p>
      <w:pPr>
        <w:pStyle w:val="Heading2"/>
        <w:spacing w:after="100" w:before="200"/>
      </w:pPr>
      <w:r>
        <w:rPr>
          <w:rFonts w:ascii="Times New Roman" w:cs="Times New Roman" w:eastAsia="Times New Roman" w:hAnsi="Times New Roman"/>
        </w:rPr>
        <w:t xml:space="preserve">7.1 Synthetic streams</w:t>
      </w:r>
    </w:p>
    <w:p>
      <w:pPr>
        <w:spacing w:after="120" w:line="300"/>
        <w:jc w:val="both"/>
      </w:pPr>
      <w:r>
        <w:rPr>
          <w:rFonts w:ascii="Times New Roman" w:cs="Times New Roman" w:eastAsia="Times New Roman" w:hAnsi="Times New Roman"/>
        </w:rPr>
        <w:t xml:space="preserve">Table 3 reports the synthetic results. All adaptive methods reach the nominal 0.90 long-run coverage, whereas split CP loses up to 21 points under drift, confirming that marginal coverage alone cannot discriminate between adaptive methods. On the recurring abrupt stream S1, wrapping ACI reduces LCE from 0.0422 to 0.0298 and under-coverage time from 14.0% to 6.1% of steps, while also shrinking the mean width from 4.81 to 4.56. Figure 4 shows the mechanism. When the noise scale drops at t = 2,500 and t = 7,500, ACI keeps its inflated threshold for several hundred steps and over-covers, until the stale scores leave its window. MARS(ACI) detects the easing shift through the ε = +1 state of the martingale and drops to the new level within about 50 steps. The subsequent under-coverage episodes that ACI suffers while α</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readjusts (near t = 3,000 and t = 8,000) are also avoided.</w:t>
      </w:r>
    </w:p>
    <w:p>
      <w:pPr>
        <w:keepNext/>
        <w:spacing w:after="60" w:before="160"/>
      </w:pPr>
      <w:r>
        <w:rPr>
          <w:rFonts w:ascii="Times New Roman" w:cs="Times New Roman" w:eastAsia="Times New Roman" w:hAnsi="Times New Roman"/>
          <w:b/>
          <w:bCs/>
          <w:sz w:val="19"/>
          <w:szCs w:val="19"/>
        </w:rPr>
        <w:t xml:space="preserve">Table 3</w:t>
      </w:r>
      <w:r>
        <w:rPr>
          <w:rFonts w:ascii="Times New Roman" w:cs="Times New Roman" w:eastAsia="Times New Roman" w:hAnsi="Times New Roman"/>
          <w:sz w:val="19"/>
          <w:szCs w:val="19"/>
        </w:rPr>
        <w:t xml:space="preserve"> Synthetic results (mean ± std over 20 test seeds, α = 0.1). LCE: local coverage error; UCT: percentage of steps with 100-step rolling coverage below 0.85. Post-shift coverage is not defined for the gradual stream S2 (—). Shaded rows are MARS-CP wrappers</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1500"/>
        <w:gridCol w:w="1300"/>
        <w:gridCol w:w="900"/>
        <w:gridCol w:w="1400"/>
        <w:gridCol w:w="1500"/>
        <w:gridCol w:w="1300"/>
        <w:gridCol w:w="1126"/>
      </w:tblGrid>
      <w:tr>
        <w:trPr>
          <w:cantSplit/>
          <w:tblHeader/>
        </w:trPr>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Method</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Coverage</w:t>
            </w:r>
          </w:p>
        </w:tc>
        <w:tc>
          <w:tcPr>
            <w:tcW w:type="dxa" w:w="1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Width</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LCE</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UCT (%)</w:t>
            </w:r>
          </w:p>
        </w:tc>
        <w:tc>
          <w:tcPr>
            <w:tcW w:type="dxa" w:w="11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Worst post-shift cov.</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0.801</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3.308 ± 0.139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0.1653 ± 0.0050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30.05 ± 2.02</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0.401 ± 0.028</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0.894</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4.687 ± 0.045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0.0578 ± 0.0014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14.41 ± 1.41</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0.568 ± 0.024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4.806 ± 0.053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0.0422 ± 0.0014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14.03 ± 0.96</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0.813 ± 0.013</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4.562 ± 0.054</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0.0298 ± 0.0022</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6.07 ± 0.94</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0.785 ± 0.024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4.572 ± 0.042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0.0195 ± 0.0008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3.29 ± 0.30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0.833 ± 0.007</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4.590 ± 0.051</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0.0184 ± 0.0009</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3.18 ± 0.30</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0.834 ± 0.013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4.724 ± 0.061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0.0221 ± 0.0009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4.18 ± 0.84</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0.861 ± 0.007</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4.609 ± 0.053</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0.0207 ± 0.0012</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3.38 ± 0.52</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0.849 ± 0.012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0.691</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3.495 ± 0.162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0.2163 ± 0.0180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78.62 ± 3.78</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5.880 ± 0.047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0.0372 ± 0.0014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13.48 ± 1.82</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0.901</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5.940 ± 0.044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0.0229 ± 0.0017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3.35 ± 1.19</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0.902</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5.935 ± 0.041</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0.0256 ± 0.0014</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4.30 ± 1.18</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5.934 ± 0.044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0.0145 ± 0.0006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0.16 ± 0.14</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5.949 ± 0.045</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0.0151 ± 0.0007</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0.29 ± 0.22</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5.933 ± 0.043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0.0194 ± 0.0011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1.36 ± 0.51</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5.905 ± 0.044</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0.0203 ± 0.0009</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1.77 ± 0.61</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0.729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3.308 ± 0.139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0.1845 ± 0.0112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54.33 ± 3.47</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0.347 ± 0.041</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0.889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4.681 ± 0.046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0.0499 ± 0.0021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15.57 ± 1.59</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0.573 ± 0.019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4.797 ± 0.062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0.0349 ± 0.0012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10.37 ± 0.87</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0.818 ± 0.014</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4.726 ± 0.062</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0.0285 ± 0.0016</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6.48 ± 1.00</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0.797 ± 0.026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4.728 ± 0.066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0.0165 ± 0.0008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2.26 ± 0.33</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0.847 ± 0.007</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4.775 ± 0.090</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0.0159 ± 0.0013</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2.14 ± 0.50</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0.843 ± 0.014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5.022 ± 0.418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0.0213 ± 0.0007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4.03 ± 0.76</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0.854 ± 0.009</w:t>
            </w:r>
          </w:p>
        </w:tc>
      </w:tr>
      <w:tr>
        <w:trPr>
          <w:cantSplit/>
        </w:trPr>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4.885 ± 0.273</w:t>
            </w:r>
          </w:p>
        </w:tc>
        <w:tc>
          <w:tcPr>
            <w:tcW w:type="dxa" w:w="15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0.0205 ± 0.0008</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3.45 ± 0.83</w:t>
            </w:r>
          </w:p>
        </w:tc>
        <w:tc>
          <w:tcPr>
            <w:tcW w:type="dxa" w:w="11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0.848 ± 0.010</w:t>
            </w:r>
          </w:p>
        </w:tc>
      </w:tr>
    </w:tbl>
    <w:p>
      <w:pPr>
        <w:spacing w:after="160"/>
      </w:pPr>
    </w:p>
    <w:p>
      <w:pPr>
        <w:keepNext/>
        <w:spacing w:before="120"/>
        <w:jc w:val="center"/>
      </w:pPr>
      <w:r>
        <w:drawing>
          <wp:inline distT="0" distB="0" distL="0" distR="0">
            <wp:extent cx="5715000" cy="3333750"/>
            <wp:effectExtent t="0" r="0" b="0" l="0"/>
            <wp:docPr id="1" name="fig4_s1_trace.png" descr="Fig. 4 Stream S1 (seed 0). Top: nonconformity scores, thresholds q_{t} of ACI and MARS(ACI) (clipped at 15), and MARS alarms (triangles); dotted lines mark the true change points. Bottom: 100-step rol" title="Fig. 4 Stream S1 (seed 0). Top: nonconformity scores, th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4</w:t>
      </w:r>
      <w:r>
        <w:rPr>
          <w:rFonts w:ascii="Times New Roman" w:cs="Times New Roman" w:eastAsia="Times New Roman" w:hAnsi="Times New Roman"/>
          <w:sz w:val="19"/>
          <w:szCs w:val="19"/>
        </w:rPr>
        <w:t xml:space="preserve"> Stream S1 (seed 0). Top: nonconformity scores, thresholds q</w:t>
      </w:r>
      <w:r>
        <w:rPr>
          <w:rFonts w:ascii="Times New Roman" w:cs="Times New Roman" w:eastAsia="Times New Roman" w:hAnsi="Times New Roman"/>
          <w:sz w:val="19"/>
          <w:szCs w:val="19"/>
          <w:vertAlign w:val="subscript"/>
        </w:rPr>
        <w:t xml:space="preserve">t</w:t>
      </w:r>
      <w:r>
        <w:rPr>
          <w:rFonts w:ascii="Times New Roman" w:cs="Times New Roman" w:eastAsia="Times New Roman" w:hAnsi="Times New Roman"/>
          <w:sz w:val="19"/>
          <w:szCs w:val="19"/>
        </w:rPr>
        <w:t xml:space="preserve"> of ACI and MARS(ACI) (clipped at 15), and MARS alarms (triangles); dotted lines mark the true change points. Bottom: 100-step rolling coverage. MARS(ACI) reacts to both harder shifts (t = 1,250 and 6,250) and easier shifts (t = 2,500, 3,750, 7,500 and 8,750), avoiding ACI’s prolonged over- and under-coverage</w:t>
      </w:r>
    </w:p>
    <w:p>
      <w:pPr>
        <w:spacing w:after="120" w:line="300"/>
        <w:jc w:val="both"/>
      </w:pPr>
      <w:r>
        <w:rPr>
          <w:rFonts w:ascii="Times New Roman" w:cs="Times New Roman" w:eastAsia="Times New Roman" w:hAnsi="Times New Roman"/>
        </w:rPr>
        <w:t xml:space="preserve">For DtACI and QT, which already adapt quickly, the wrapper’s effect is smaller but still structured. MARS(DtACI) narrows intervals by 2.4% on S1 and 2.7% on S4, reduces UCT by 19.1% and 14.3%, and reduces the frequency of infinite intervals (0.77% to 0.48% on S1). MARS(QT) slightly improves LCE on S1 and S4 but widens intervals by 0.4–1.0%. The main exception is the gradual stream S2. There the martingale detects the slow drift in steps, and every reset discards useful recent scores, so LCE increases by 11.8% for ACI, 4.1% for QT and 4.7% for DtACI. This is the principal failure mode of the approach, and we return to it in Sect. 8.</w:t>
      </w:r>
    </w:p>
    <w:p>
      <w:pPr>
        <w:pStyle w:val="Heading2"/>
        <w:spacing w:after="100" w:before="200"/>
      </w:pPr>
      <w:r>
        <w:rPr>
          <w:rFonts w:ascii="Times New Roman" w:cs="Times New Roman" w:eastAsia="Times New Roman" w:hAnsi="Times New Roman"/>
        </w:rPr>
        <w:t xml:space="preserve">7.2 Statistical significance</w:t>
      </w:r>
    </w:p>
    <w:p>
      <w:pPr>
        <w:spacing w:after="120" w:line="300"/>
        <w:jc w:val="both"/>
      </w:pPr>
      <w:r>
        <w:rPr>
          <w:rFonts w:ascii="Times New Roman" w:cs="Times New Roman" w:eastAsia="Times New Roman" w:hAnsi="Times New Roman"/>
        </w:rPr>
        <w:t xml:space="preserve">Table 4 lists paired Wilcoxon tests across the 20 synthetic seeds. For ACI the improvements in LCE, width and UCT on the abrupt streams S1 and S4 are all significant at p &lt; 0.001. For DtACI, the reductions in LCE, width and UCT on S1 and S4 are significant (p ≤ 0.001). For QT, the LCE reduction is significant but small, and the width increase is also significant. On S2 all three wrappers significantly increase LCE (p &lt; 0.001), which confirms that the gradual-drift degradation is systematic rather than noise.</w:t>
      </w:r>
    </w:p>
    <w:p>
      <w:pPr>
        <w:keepNext/>
        <w:spacing w:after="60" w:before="160"/>
      </w:pPr>
      <w:r>
        <w:rPr>
          <w:rFonts w:ascii="Times New Roman" w:cs="Times New Roman" w:eastAsia="Times New Roman" w:hAnsi="Times New Roman"/>
          <w:b/>
          <w:bCs/>
          <w:sz w:val="19"/>
          <w:szCs w:val="19"/>
        </w:rPr>
        <w:t xml:space="preserve">Table 4</w:t>
      </w:r>
      <w:r>
        <w:rPr>
          <w:rFonts w:ascii="Times New Roman" w:cs="Times New Roman" w:eastAsia="Times New Roman" w:hAnsi="Times New Roman"/>
          <w:sz w:val="19"/>
          <w:szCs w:val="19"/>
        </w:rPr>
        <w:t xml:space="preserve"> Paired two-sided Wilcoxon signed-rank tests between each inner updater and its MARS-CP wrapper (20 seeds). Negative Δ indicates improvement for all three metrics</w:t>
      </w:r>
    </w:p>
    <w:tbl>
      <w:tblPr>
        <w:tblW w:type="dxa" w:w="8100"/>
        <w:tblBorders>
          <w:top w:val="single" w:color="000000" w:sz="4"/>
          <w:left w:val="none" w:color="FFFFFF" w:sz="0"/>
          <w:bottom w:val="single" w:color="000000" w:sz="4"/>
          <w:right w:val="none" w:color="FFFFFF" w:sz="0"/>
          <w:insideH w:val="none" w:color="FFFFFF" w:sz="0"/>
          <w:insideV w:val="none" w:color="FFFFFF" w:sz="0"/>
        </w:tblBorders>
      </w:tblPr>
      <w:tblGrid>
        <w:gridCol w:w="1700"/>
        <w:gridCol w:w="900"/>
        <w:gridCol w:w="900"/>
        <w:gridCol w:w="1300"/>
        <w:gridCol w:w="1300"/>
        <w:gridCol w:w="1000"/>
        <w:gridCol w:w="1000"/>
      </w:tblGrid>
      <w:tr>
        <w:trPr>
          <w:cantSplit/>
          <w:tblHeader/>
        </w:trPr>
        <w:tc>
          <w:tcPr>
            <w:tcW w:type="dxa" w:w="17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Inner</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Metric</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Inner mean</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MARS mean</w:t>
            </w:r>
          </w:p>
        </w:tc>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Δ (%)</w:t>
            </w:r>
          </w:p>
        </w:tc>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p-value</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0.0422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-29.4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4.8056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4.5622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14.0325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6.0664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4.5724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4.5904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3.2890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3.1842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0.140</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4.7237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4.6094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4.1751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3.3794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0.0256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5.9400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0.245</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3.3454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4.3011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+28.6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0.008</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0.0145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5.9345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5.9490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0.012</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0.1564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0.2883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+84.4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5.9331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5.9048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S2-Gradual</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1.3610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1.7663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0.0349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4.7969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4.7259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10.3702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6.4754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0.0165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0.0159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0.007</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4.7281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4.7749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2.2572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2.1391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0.099</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LCE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0.0213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width</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5.0223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4.8849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&lt;0.001</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UCT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4.0336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3.4550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0.001</w:t>
            </w:r>
          </w:p>
        </w:tc>
      </w:tr>
    </w:tbl>
    <w:p>
      <w:pPr>
        <w:spacing w:after="160"/>
      </w:pPr>
    </w:p>
    <w:p>
      <w:pPr>
        <w:pStyle w:val="Heading2"/>
        <w:spacing w:after="100" w:before="200"/>
      </w:pPr>
      <w:r>
        <w:rPr>
          <w:rFonts w:ascii="Times New Roman" w:cs="Times New Roman" w:eastAsia="Times New Roman" w:hAnsi="Times New Roman"/>
        </w:rPr>
        <w:t xml:space="preserve">7.3 Real-world streams</w:t>
      </w:r>
    </w:p>
    <w:p>
      <w:pPr>
        <w:spacing w:after="120" w:line="300"/>
        <w:jc w:val="both"/>
      </w:pPr>
      <w:r>
        <w:rPr>
          <w:rFonts w:ascii="Times New Roman" w:cs="Times New Roman" w:eastAsia="Times New Roman" w:hAnsi="Times New Roman"/>
        </w:rPr>
        <w:t xml:space="preserve">Table 5 summarises the real streams. All methods except split CP stay within 0.008 of nominal coverage. The clearest effect appears on </w:t>
      </w:r>
      <w:r>
        <w:rPr>
          <w:rFonts w:ascii="Times New Roman" w:cs="Times New Roman" w:eastAsia="Times New Roman" w:hAnsi="Times New Roman"/>
          <w:b/>
          <w:bCs/>
        </w:rPr>
        <w:t xml:space="preserve">MachineTemp</w:t>
      </w:r>
      <w:r>
        <w:rPr>
          <w:rFonts w:ascii="Times New Roman" w:cs="Times New Roman" w:eastAsia="Times New Roman" w:hAnsi="Times New Roman"/>
        </w:rPr>
        <w:t xml:space="preserve">, the NAB stream containing documented system failures and operating-mode changes. Wrapping ACI reduces the mean width from 5.53 to 4.28 (−22.5%) at essentially unchanged coverage (0.900 vs. 0.898), cuts the fraction of infinite intervals from 0.75% to 0.04%, and lowers UCT from 17.5% to 14.5%. Wrapping QT reduces width by 9.5%, and wrapping DtACI by 4.1%, together with fewer infinite intervals (2.21% to 1.66%). Figure 5 shows that after each abnormal episode ACI remains inflated for a long time, whereas MARS(ACI) resets once scores return to their normal level. The cost is a lower worst-case rolling coverage (0.44 vs. 0.65): immediately after some resets, the small post-change buffer under-estimates the quantile of a still-evolving regime.</w:t>
      </w:r>
    </w:p>
    <w:p>
      <w:pPr>
        <w:keepNext/>
        <w:spacing w:after="60" w:before="160"/>
      </w:pPr>
      <w:r>
        <w:rPr>
          <w:rFonts w:ascii="Times New Roman" w:cs="Times New Roman" w:eastAsia="Times New Roman" w:hAnsi="Times New Roman"/>
          <w:b/>
          <w:bCs/>
          <w:sz w:val="19"/>
          <w:szCs w:val="19"/>
        </w:rPr>
        <w:t xml:space="preserve">Table 5</w:t>
      </w:r>
      <w:r>
        <w:rPr>
          <w:rFonts w:ascii="Times New Roman" w:cs="Times New Roman" w:eastAsia="Times New Roman" w:hAnsi="Times New Roman"/>
          <w:sz w:val="19"/>
          <w:szCs w:val="19"/>
        </w:rPr>
        <w:t xml:space="preserve"> Real-world results (α = 0.1). Width is in target units (ELEC2 is normalised to [0,1]; Power in kW; MelbTemp in °C; MachineTemp in sensor units). Inf: percentage of infinite intervals. Shaded rows are MARS-CP wrappers</w:t>
      </w:r>
    </w:p>
    <w:tbl>
      <w:tblPr>
        <w:tblW w:type="dxa" w:w="8426"/>
        <w:tblBorders>
          <w:top w:val="single" w:color="000000" w:sz="4"/>
          <w:left w:val="none" w:color="FFFFFF" w:sz="0"/>
          <w:bottom w:val="single" w:color="000000" w:sz="4"/>
          <w:right w:val="none" w:color="FFFFFF" w:sz="0"/>
          <w:insideH w:val="none" w:color="FFFFFF" w:sz="0"/>
          <w:insideV w:val="none" w:color="FFFFFF" w:sz="0"/>
        </w:tblBorders>
      </w:tblPr>
      <w:tblGrid>
        <w:gridCol w:w="1400"/>
        <w:gridCol w:w="1300"/>
        <w:gridCol w:w="900"/>
        <w:gridCol w:w="900"/>
        <w:gridCol w:w="900"/>
        <w:gridCol w:w="1000"/>
        <w:gridCol w:w="1000"/>
        <w:gridCol w:w="1026"/>
      </w:tblGrid>
      <w:tr>
        <w:trPr>
          <w:cantSplit/>
          <w:tblHeader/>
        </w:trPr>
        <w:tc>
          <w:tcPr>
            <w:tcW w:type="dxa" w:w="1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Method</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Coverage</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Width</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Inf (%)</w:t>
            </w:r>
          </w:p>
        </w:tc>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LCE</w:t>
            </w:r>
          </w:p>
        </w:tc>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UCT (%)</w:t>
            </w:r>
          </w:p>
        </w:tc>
        <w:tc>
          <w:tcPr>
            <w:tcW w:type="dxa" w:w="10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ms/step</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0.854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0.0834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36.84</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0.000</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0.0608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16.62</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0.049</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0.0419</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14.03</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0.045</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8.23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0.0281</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8.33</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0.026</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5.56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0.018</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0.050</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0.83</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0.0256</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6.32</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0.079</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2.234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1.52</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0.000</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1.825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7.16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6.39</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0.0276</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5.99</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0.036</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2.54</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1.851</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0.0197</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2.39</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0.017</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1.842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2.36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0.018</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1.840</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0.0208</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2.30</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0.072</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0.929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8.656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0.39</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0.000</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8.107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7.09</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9.29</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8.066</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0.0287</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9.98</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0.035</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7.984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0.0185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0.901</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8.085</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0.0179</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0.65</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0.014</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8.007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8.019</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0.0222</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4.80</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0.071</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SplitCP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0.983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10.378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0.1045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2.77</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0.000</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RollingCP</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4.580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16.90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5.531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17.49</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0.004</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4.284</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0.0489</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14.53</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0.041</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QT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9.28</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0.003</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MARS(QT)</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0.893</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4.205</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0.0323</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9.45</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0.022</w:t>
            </w:r>
          </w:p>
        </w:tc>
      </w:tr>
      <w:tr>
        <w:trPr>
          <w:cantSplit/>
        </w:trP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DtACI</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5.620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0.0259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6.02</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w:t>
            </w:r>
          </w:p>
        </w:tc>
      </w:tr>
      <w:tr>
        <w:trPr>
          <w:cantSplit/>
        </w:trPr>
        <w:tc>
          <w:tcPr>
            <w:tcW w:type="dxa" w:w="14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13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MARS(DtACI)</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5.389</w:t>
            </w:r>
          </w:p>
        </w:tc>
        <w:tc>
          <w:tcPr>
            <w:tcW w:type="dxa" w:w="9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1.66</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0.0265</w:t>
            </w:r>
          </w:p>
        </w:tc>
        <w:tc>
          <w:tcPr>
            <w:tcW w:type="dxa" w:w="1000"/>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7.37</w:t>
            </w:r>
          </w:p>
        </w:tc>
        <w:tc>
          <w:tcPr>
            <w:tcW w:type="dxa" w:w="1026"/>
            <w:tcBorders>
              <w:top w:val="none" w:color="FFFFFF" w:sz="0"/>
              <w:left w:val="none" w:color="FFFFFF" w:sz="0"/>
              <w:bottom w:val="none" w:color="FFFFFF" w:sz="0"/>
              <w:right w:val="none" w:color="FFFFFF" w:sz="0"/>
            </w:tcBorders>
            <w:shd w:fill="EDEDED"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0.076</w:t>
            </w:r>
          </w:p>
        </w:tc>
      </w:tr>
    </w:tbl>
    <w:p>
      <w:pPr>
        <w:spacing w:after="160"/>
      </w:pPr>
    </w:p>
    <w:p>
      <w:pPr>
        <w:keepNext/>
        <w:spacing w:before="120"/>
        <w:jc w:val="center"/>
      </w:pPr>
      <w:r>
        <w:drawing>
          <wp:inline distT="0" distB="0" distL="0" distR="0">
            <wp:extent cx="5715000" cy="2066925"/>
            <wp:effectExtent t="0" r="0" b="0" l="0"/>
            <wp:docPr id="1" name="fig5_machine_trace.png" descr="Fig. 5 MachineTemp: scores and interval half-widths of ACI and MARS(ACI), clipped at the 99.9th score percentile. Triangles mark MARS alarms. After abnormal episodes ACI stays inflated, whereas MARS(A" title="Fig. 5 MachineTemp: scores and interval half-widths of ACI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66925"/>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5</w:t>
      </w:r>
      <w:r>
        <w:rPr>
          <w:rFonts w:ascii="Times New Roman" w:cs="Times New Roman" w:eastAsia="Times New Roman" w:hAnsi="Times New Roman"/>
          <w:sz w:val="19"/>
          <w:szCs w:val="19"/>
        </w:rPr>
        <w:t xml:space="preserve"> MachineTemp: scores and interval half-widths of ACI and MARS(ACI), clipped at the 99.9th score percentile. Triangles mark MARS alarms. After abnormal episodes ACI stays inflated, whereas MARS(ACI) resets once the stream returns to normal operation</w:t>
      </w:r>
    </w:p>
    <w:p>
      <w:pPr>
        <w:spacing w:after="120" w:line="300"/>
        <w:jc w:val="both"/>
      </w:pPr>
      <w:r>
        <w:rPr>
          <w:rFonts w:ascii="Times New Roman" w:cs="Times New Roman" w:eastAsia="Times New Roman" w:hAnsi="Times New Roman"/>
        </w:rPr>
        <w:t xml:space="preserve">On </w:t>
      </w:r>
      <w:r>
        <w:rPr>
          <w:rFonts w:ascii="Times New Roman" w:cs="Times New Roman" w:eastAsia="Times New Roman" w:hAnsi="Times New Roman"/>
          <w:b/>
          <w:bCs/>
        </w:rPr>
        <w:t xml:space="preserve">ELEC2</w:t>
      </w:r>
      <w:r>
        <w:rPr>
          <w:rFonts w:ascii="Times New Roman" w:cs="Times New Roman" w:eastAsia="Times New Roman" w:hAnsi="Times New Roman"/>
        </w:rPr>
        <w:t xml:space="preserve">, which changes regime frequently (157 alarms over 42,476 steps, reflecting daily, weekly and market-driven patterns), MARS(ACI) lowers LCE from 0.047 to 0.042 and UCT from 16.6% to 14.0% with slightly narrower intervals, whereas MARS(DtACI) is marginally worse than DtACI (LCE 0.026 vs. 0.025; UCT 6.3% vs. 5.6%). On </w:t>
      </w:r>
      <w:r>
        <w:rPr>
          <w:rFonts w:ascii="Times New Roman" w:cs="Times New Roman" w:eastAsia="Times New Roman" w:hAnsi="Times New Roman"/>
          <w:b/>
          <w:bCs/>
        </w:rPr>
        <w:t xml:space="preserve">Power</w:t>
      </w:r>
      <w:r>
        <w:rPr>
          <w:rFonts w:ascii="Times New Roman" w:cs="Times New Roman" w:eastAsia="Times New Roman" w:hAnsi="Times New Roman"/>
        </w:rPr>
        <w:t xml:space="preserve">, MARS(ACI) raises ACI’s worst rolling coverage from 0.30 to 0.65 and lowers LCE from 0.030 to 0.028, while the QT and DtACI wrappers are essentially neutral. </w:t>
      </w:r>
      <w:r>
        <w:rPr>
          <w:rFonts w:ascii="Times New Roman" w:cs="Times New Roman" w:eastAsia="Times New Roman" w:hAnsi="Times New Roman"/>
          <w:b/>
          <w:bCs/>
        </w:rPr>
        <w:t xml:space="preserve">MelbTemp</w:t>
      </w:r>
      <w:r>
        <w:rPr>
          <w:rFonts w:ascii="Times New Roman" w:cs="Times New Roman" w:eastAsia="Times New Roman" w:hAnsi="Times New Roman"/>
        </w:rPr>
        <w:t xml:space="preserve"> triggers only one alarm, and every wrapper stays within 1.3% of its inner updater’s width, which is consistent with Corollary 1’s design goal of intervening only when there is evidence of change. Figure 6 aggregates the relative changes across all streams.</w:t>
      </w:r>
    </w:p>
    <w:p>
      <w:pPr>
        <w:keepNext/>
        <w:spacing w:before="120"/>
        <w:jc w:val="center"/>
      </w:pPr>
      <w:r>
        <w:drawing>
          <wp:inline distT="0" distB="0" distL="0" distR="0">
            <wp:extent cx="5715000" cy="2419350"/>
            <wp:effectExtent t="0" r="0" b="0" l="0"/>
            <wp:docPr id="1" name="fig6_relative.png" descr="Fig. 6 Relative change (%) in mean width (left) and LCE (right) of each MARS-CP wrapper with respect to its inner updater, across all streams (negative is better). Gains concentrate on streams with ab" title="Fig. 6 Relative change (%) in mean width (left) and LCE (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193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6</w:t>
      </w:r>
      <w:r>
        <w:rPr>
          <w:rFonts w:ascii="Times New Roman" w:cs="Times New Roman" w:eastAsia="Times New Roman" w:hAnsi="Times New Roman"/>
          <w:sz w:val="19"/>
          <w:szCs w:val="19"/>
        </w:rPr>
        <w:t xml:space="preserve"> Relative change (%) in mean width (left) and LCE (right) of each MARS-CP wrapper with respect to its inner updater, across all streams (negative is better). Gains concentrate on streams with abrupt or recurring shifts (S1, S4, ELEC2, MachineTemp); the gradual stream S2 is the main adverse case</w:t>
      </w:r>
    </w:p>
    <w:p>
      <w:pPr>
        <w:pStyle w:val="Heading2"/>
        <w:spacing w:after="100" w:before="200"/>
      </w:pPr>
      <w:r>
        <w:rPr>
          <w:rFonts w:ascii="Times New Roman" w:cs="Times New Roman" w:eastAsia="Times New Roman" w:hAnsi="Times New Roman"/>
        </w:rPr>
        <w:t xml:space="preserve">7.4 Ablation study</w:t>
      </w:r>
    </w:p>
    <w:p>
      <w:pPr>
        <w:spacing w:after="120" w:line="300"/>
        <w:jc w:val="both"/>
      </w:pPr>
      <w:r>
        <w:rPr>
          <w:rFonts w:ascii="Times New Roman" w:cs="Times New Roman" w:eastAsia="Times New Roman" w:hAnsi="Times New Roman"/>
        </w:rPr>
        <w:t xml:space="preserve">Table 6 isolates each component of MARS(ACI). Removing the martingale reset recovers ACI exactly, confirming that all gains stem from the regime mechanism. The </w:t>
      </w:r>
      <w:r>
        <w:rPr>
          <w:rFonts w:ascii="Times New Roman" w:cs="Times New Roman" w:eastAsia="Times New Roman" w:hAnsi="Times New Roman"/>
          <w:b/>
          <w:bCs/>
        </w:rPr>
        <w:t xml:space="preserve">two-sided</w:t>
      </w:r>
      <w:r>
        <w:rPr>
          <w:rFonts w:ascii="Times New Roman" w:cs="Times New Roman" w:eastAsia="Times New Roman" w:hAnsi="Times New Roman"/>
        </w:rPr>
        <w:t xml:space="preserve"> martingale is essential. The one-sided variant, which detects only harder shifts, raises 60–90% fewer alarms (for example 29 instead of 156 on ELEC2) and loses most of the benefit: on MachineTemp its width is 4.86 against 4.31, and on ELEC2 its UCT is 18.8% against 14.1%, worse than ACI itself. This supports our claim that detecting </w:t>
      </w:r>
      <w:r>
        <w:rPr>
          <w:rFonts w:ascii="Times New Roman" w:cs="Times New Roman" w:eastAsia="Times New Roman" w:hAnsi="Times New Roman"/>
          <w:i/>
          <w:iCs/>
        </w:rPr>
        <w:t xml:space="preserve">easing</w:t>
      </w:r>
      <w:r>
        <w:rPr>
          <w:rFonts w:ascii="Times New Roman" w:cs="Times New Roman" w:eastAsia="Times New Roman" w:hAnsi="Times New Roman"/>
        </w:rPr>
        <w:t xml:space="preserve"> shifts is a distinct and useful signal. Change localisation is not clearly beneficial. The variant without it, which simply keeps the last 20 scores, raises fewer alarms on S1 (7.1 vs. 9.1) at a slightly higher UCT (6.3% vs. 6.1%), and on the real streams it is neutral or marginally better (e.g. ELEC2 UCT 13.7% vs. 14.1%; Power 5.4% vs. 5.9%). We retain localisation because it is principled and its cost is negligible, but we do not claim it as a source of gains. The </w:t>
      </w:r>
      <w:r>
        <w:rPr>
          <w:rFonts w:ascii="Times New Roman" w:cs="Times New Roman" w:eastAsia="Times New Roman" w:hAnsi="Times New Roman"/>
          <w:b/>
          <w:bCs/>
        </w:rPr>
        <w:t xml:space="preserve">regime-memory</w:t>
      </w:r>
      <w:r>
        <w:rPr>
          <w:rFonts w:ascii="Times New Roman" w:cs="Times New Roman" w:eastAsia="Times New Roman" w:hAnsi="Times New Roman"/>
        </w:rPr>
        <w:t xml:space="preserve"> module does not deliver a consistent benefit. Disabling it gives marginally lower LCE on S1, S4 and ELEC2, but on MachineTemp the full model holds coverage better (0.899 vs. 0.892) with lower UCT (14.2% vs. 15.5%). We attribute this to the detection delay (≈50 steps, Sect. 7.5): by the time a recall is attempted, the new regime already has enough fresh scores, so recalled scores add little. We therefore regard memory as optional.</w:t>
      </w:r>
    </w:p>
    <w:p>
      <w:pPr>
        <w:keepNext/>
        <w:spacing w:after="60" w:before="160"/>
      </w:pPr>
      <w:r>
        <w:rPr>
          <w:rFonts w:ascii="Times New Roman" w:cs="Times New Roman" w:eastAsia="Times New Roman" w:hAnsi="Times New Roman"/>
          <w:b/>
          <w:bCs/>
          <w:sz w:val="19"/>
          <w:szCs w:val="19"/>
        </w:rPr>
        <w:t xml:space="preserve">Table 6</w:t>
      </w:r>
      <w:r>
        <w:rPr>
          <w:rFonts w:ascii="Times New Roman" w:cs="Times New Roman" w:eastAsia="Times New Roman" w:hAnsi="Times New Roman"/>
          <w:sz w:val="19"/>
          <w:szCs w:val="19"/>
        </w:rPr>
        <w:t xml:space="preserve"> Ablation of MARS(ACI) (20 seeds on synthetic streams, 3 on real streams). Removing the martingale reset reduces the method to ACI</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1600"/>
        <w:gridCol w:w="2000"/>
        <w:gridCol w:w="850"/>
        <w:gridCol w:w="850"/>
        <w:gridCol w:w="900"/>
        <w:gridCol w:w="900"/>
        <w:gridCol w:w="900"/>
        <w:gridCol w:w="1026"/>
      </w:tblGrid>
      <w:tr>
        <w:trPr>
          <w:cantSplit/>
          <w:tblHeader/>
        </w:trPr>
        <w:tc>
          <w:tcPr>
            <w:tcW w:type="dxa" w:w="16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2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Variant</w:t>
            </w:r>
          </w:p>
        </w:tc>
        <w:tc>
          <w:tcPr>
            <w:tcW w:type="dxa" w:w="85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Coverage</w:t>
            </w:r>
          </w:p>
        </w:tc>
        <w:tc>
          <w:tcPr>
            <w:tcW w:type="dxa" w:w="85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Width</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LCE</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UCT (%)</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Alarms</w:t>
            </w:r>
          </w:p>
        </w:tc>
        <w:tc>
          <w:tcPr>
            <w:tcW w:type="dxa" w:w="10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Recalls</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 full</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0.0298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6.07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9.1</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4.1</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regime memory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4.540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0.0276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5.84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9.1</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martingale reset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4.806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14.03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one-sided martingale</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0.0414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14.45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2.5</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S1-RecurringAbrupt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change localization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4.574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6.28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7.1</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 full</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4.726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6.2</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2.9</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regime memory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0.898</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4.701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6.2</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martingale reset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4.797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0.0349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10.37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one-sided martingale</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4.759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0.0341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10.72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2.4</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S4-MixedRecurring</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change localization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4.733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6.61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4.6</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2.6</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 full</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0.0418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156.3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114.3</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regime memory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0.897</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0.0396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14.27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156.3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martingale reset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0.0474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one-sided martingale</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0.894</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0.0474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18.75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29.0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change localization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13.69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136.3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100.7</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 full</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0.0275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regime memory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0.901</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0.0266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5.44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martingale reset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one-sided martingale</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1.829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change localization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0.0270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30.3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13.7</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MARS(ACI) full</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4.312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14.18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62.3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regime memory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0.892</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4.171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15.53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62.3</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martingale reset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5.531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0.0513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17.49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one-sided martingale</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4.858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0.0535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24.0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3.0</w:t>
            </w:r>
          </w:p>
        </w:tc>
      </w:tr>
      <w:tr>
        <w:trPr>
          <w:cantSplit/>
        </w:trPr>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w/o change localization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0.896</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4.211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0.0478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14.89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58.0</w:t>
            </w:r>
          </w:p>
        </w:tc>
        <w:tc>
          <w:tcPr>
            <w:tcW w:type="dxa" w:w="10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25.3</w:t>
            </w:r>
          </w:p>
        </w:tc>
      </w:tr>
    </w:tbl>
    <w:p>
      <w:pPr>
        <w:spacing w:after="160"/>
      </w:pPr>
    </w:p>
    <w:p>
      <w:pPr>
        <w:pStyle w:val="Heading2"/>
        <w:spacing w:after="100" w:before="200"/>
      </w:pPr>
      <w:r>
        <w:rPr>
          <w:rFonts w:ascii="Times New Roman" w:cs="Times New Roman" w:eastAsia="Times New Roman" w:hAnsi="Times New Roman"/>
        </w:rPr>
        <w:t xml:space="preserve">7.5 Change detection behaviour</w:t>
      </w:r>
    </w:p>
    <w:p>
      <w:pPr>
        <w:spacing w:after="120" w:line="300"/>
        <w:jc w:val="both"/>
      </w:pPr>
      <w:r>
        <w:rPr>
          <w:rFonts w:ascii="Times New Roman" w:cs="Times New Roman" w:eastAsia="Times New Roman" w:hAnsi="Times New Roman"/>
        </w:rPr>
        <w:t xml:space="preserve">Table 7 evaluates the monitor itself on synthetic streams with known change points. All seven changes of S1 are detected, with a mean delay of 51.8 ± 5.2 steps. On S4, 4.25 of 7 changes are detected on average; the undetected ones are mostly transitions into and out of the heavy-tailed regime, whose absolute-residual distribution overlaps substantially with the baseline. On the stationary stream S3, </w:t>
      </w:r>
      <w:r>
        <w:rPr>
          <w:rFonts w:ascii="Times New Roman" w:cs="Times New Roman" w:eastAsia="Times New Roman" w:hAnsi="Times New Roman"/>
          <w:b/>
          <w:bCs/>
        </w:rPr>
        <w:t xml:space="preserve">no alarm occurred in any of the 20 × 9,500 steps</w:t>
      </w:r>
      <w:r>
        <w:rPr>
          <w:rFonts w:ascii="Times New Roman" w:cs="Times New Roman" w:eastAsia="Times New Roman" w:hAnsi="Times New Roman"/>
        </w:rPr>
        <w:t xml:space="preserve">, which is consistent with Proposition 1 at δ = 0.01. The ≈2 additional alarms per stream on S1 and S4 are re-triggers shortly after a genuine change, when the localised buffer still contains a few pre-change scores; they are not false alarms in the sense of Proposition 1, because the regime was not exchangeable from its opening.</w:t>
      </w:r>
    </w:p>
    <w:p>
      <w:pPr>
        <w:keepNext/>
        <w:spacing w:after="60" w:before="160"/>
      </w:pPr>
      <w:r>
        <w:rPr>
          <w:rFonts w:ascii="Times New Roman" w:cs="Times New Roman" w:eastAsia="Times New Roman" w:hAnsi="Times New Roman"/>
          <w:b/>
          <w:bCs/>
          <w:sz w:val="19"/>
          <w:szCs w:val="19"/>
        </w:rPr>
        <w:t xml:space="preserve">Table 7</w:t>
      </w:r>
      <w:r>
        <w:rPr>
          <w:rFonts w:ascii="Times New Roman" w:cs="Times New Roman" w:eastAsia="Times New Roman" w:hAnsi="Times New Roman"/>
          <w:sz w:val="19"/>
          <w:szCs w:val="19"/>
        </w:rPr>
        <w:t xml:space="preserve"> Change-detection statistics of MARS(ACI) on synthetic streams (mean over 20 seeds; delay reported as mean ± std). A change is counted as detected if an alarm occurs within 400 steps after it</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2400"/>
        <w:gridCol w:w="1500"/>
        <w:gridCol w:w="1500"/>
        <w:gridCol w:w="2000"/>
        <w:gridCol w:w="1626"/>
      </w:tblGrid>
      <w:tr>
        <w:trPr>
          <w:cantSplit/>
          <w:tblHeader/>
        </w:trPr>
        <w:tc>
          <w:tcPr>
            <w:tcW w:type="dxa" w:w="24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Stream</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True changes</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Detected</w:t>
            </w:r>
          </w:p>
        </w:tc>
        <w:tc>
          <w:tcPr>
            <w:tcW w:type="dxa" w:w="2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Delay (steps)</w:t>
            </w:r>
          </w:p>
        </w:tc>
        <w:tc>
          <w:tcPr>
            <w:tcW w:type="dxa" w:w="16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Additional alarms</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S1-RecurringAbrupt</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7.00</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51.8 ± 5.2</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2.05</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S3-Stationary</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0.00</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0.00</w:t>
            </w:r>
          </w:p>
        </w:tc>
      </w:tr>
      <w:tr>
        <w:trPr>
          <w:cantSplit/>
        </w:trP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S4-MixedRecurring</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4.25</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52.3 ± 24.8</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2.00</w:t>
            </w:r>
          </w:p>
        </w:tc>
      </w:tr>
    </w:tbl>
    <w:p>
      <w:pPr>
        <w:spacing w:after="160"/>
      </w:pPr>
    </w:p>
    <w:p>
      <w:pPr>
        <w:pStyle w:val="Heading2"/>
        <w:spacing w:after="100" w:before="200"/>
      </w:pPr>
      <w:r>
        <w:rPr>
          <w:rFonts w:ascii="Times New Roman" w:cs="Times New Roman" w:eastAsia="Times New Roman" w:hAnsi="Times New Roman"/>
        </w:rPr>
        <w:t xml:space="preserve">7.6 Sensitivity analysis</w:t>
      </w:r>
    </w:p>
    <w:p>
      <w:pPr>
        <w:spacing w:after="120" w:line="300"/>
        <w:jc w:val="both"/>
      </w:pPr>
      <w:r>
        <w:rPr>
          <w:rFonts w:ascii="Times New Roman" w:cs="Times New Roman" w:eastAsia="Times New Roman" w:hAnsi="Times New Roman"/>
        </w:rPr>
        <w:t xml:space="preserve">Figure 7 varies the false-alarm budget δ. On S1 the results are almost flat over two orders of magnitude (LCE 0.031 to 0.028, width within 0.2%). On MachineTemp larger budgets trade more alarms (47 at δ = 0.001, 94 at δ = 0.1) for somewhat narrower intervals and lower LCE. On the stationary stream an alarm appears in 1 of 10 runs only when δ ≥ 0.05, as the guarantee predicts. The window size W ∈ {250, 500, 1000} changes width by about 1% or less on both S1 and MachineTemp. Table 8 varies the target level. The width reductions on MachineTemp persist at α = 0.05 (7.54 to 5.88, −21.9%) and α = 0.2 (3.92 to 3.32, −15.4%), ELEC2 LCE improves at every α, and nominal coverage is maintained within 0.002 in all 12 cases.</w:t>
      </w:r>
    </w:p>
    <w:p>
      <w:pPr>
        <w:keepNext/>
        <w:spacing w:before="120"/>
        <w:jc w:val="center"/>
      </w:pPr>
      <w:r>
        <w:drawing>
          <wp:inline distT="0" distB="0" distL="0" distR="0">
            <wp:extent cx="5715000" cy="1905000"/>
            <wp:effectExtent t="0" r="0" b="0" l="0"/>
            <wp:docPr id="1" name="fig7_sensitivity.png" descr="Fig. 7 Sensitivity of MARS(ACI) to the false-alarm budget δ: LCE (left), width relative to δ = 0.01 (middle), and alarms per run on the stationary stream S3 (right; 10 seeds)" title="Fig. 7 Sensitivity of MARS(ACI) to the false-alarm budget 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19"/>
          <w:szCs w:val="19"/>
        </w:rPr>
        <w:t xml:space="preserve">Fig. 7</w:t>
      </w:r>
      <w:r>
        <w:rPr>
          <w:rFonts w:ascii="Times New Roman" w:cs="Times New Roman" w:eastAsia="Times New Roman" w:hAnsi="Times New Roman"/>
          <w:sz w:val="19"/>
          <w:szCs w:val="19"/>
        </w:rPr>
        <w:t xml:space="preserve"> Sensitivity of MARS(ACI) to the false-alarm budget δ: LCE (left), width relative to δ = 0.01 (middle), and alarms per run on the stationary stream S3 (right; 10 seeds)</w:t>
      </w:r>
    </w:p>
    <w:p>
      <w:pPr>
        <w:keepNext/>
        <w:spacing w:after="60" w:before="160"/>
      </w:pPr>
      <w:r>
        <w:rPr>
          <w:rFonts w:ascii="Times New Roman" w:cs="Times New Roman" w:eastAsia="Times New Roman" w:hAnsi="Times New Roman"/>
          <w:b/>
          <w:bCs/>
          <w:sz w:val="19"/>
          <w:szCs w:val="19"/>
        </w:rPr>
        <w:t xml:space="preserve">Table 8</w:t>
      </w:r>
      <w:r>
        <w:rPr>
          <w:rFonts w:ascii="Times New Roman" w:cs="Times New Roman" w:eastAsia="Times New Roman" w:hAnsi="Times New Roman"/>
          <w:sz w:val="19"/>
          <w:szCs w:val="19"/>
        </w:rPr>
        <w:t xml:space="preserve"> ACI versus MARS(ACI) across target miscoverage levels on the real streams</w:t>
      </w:r>
    </w:p>
    <w:tbl>
      <w:tblPr>
        <w:tblW w:type="dxa" w:w="9026"/>
        <w:tblBorders>
          <w:top w:val="single" w:color="000000" w:sz="4"/>
          <w:left w:val="none" w:color="FFFFFF" w:sz="0"/>
          <w:bottom w:val="single" w:color="000000" w:sz="4"/>
          <w:right w:val="none" w:color="FFFFFF" w:sz="0"/>
          <w:insideH w:val="none" w:color="FFFFFF" w:sz="0"/>
          <w:insideV w:val="none" w:color="FFFFFF" w:sz="0"/>
        </w:tblBorders>
      </w:tblPr>
      <w:tblGrid>
        <w:gridCol w:w="1500"/>
        <w:gridCol w:w="700"/>
        <w:gridCol w:w="1700"/>
        <w:gridCol w:w="1700"/>
        <w:gridCol w:w="1800"/>
        <w:gridCol w:w="1626"/>
      </w:tblGrid>
      <w:tr>
        <w:trPr>
          <w:cantSplit/>
          <w:tblHeader/>
        </w:trPr>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5"/>
                <w:szCs w:val="15"/>
              </w:rPr>
              <w:t xml:space="preserve">Stream</w:t>
            </w:r>
          </w:p>
        </w:tc>
        <w:tc>
          <w:tcPr>
            <w:tcW w:type="dxa" w:w="7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α</w:t>
            </w:r>
          </w:p>
        </w:tc>
        <w:tc>
          <w:tcPr>
            <w:tcW w:type="dxa" w:w="17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Coverage (ACI / MARS)</w:t>
            </w:r>
          </w:p>
        </w:tc>
        <w:tc>
          <w:tcPr>
            <w:tcW w:type="dxa" w:w="17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Width (ACI / MARS)</w:t>
            </w:r>
          </w:p>
        </w:tc>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LCE (ACI / MARS)</w:t>
            </w:r>
          </w:p>
        </w:tc>
        <w:tc>
          <w:tcPr>
            <w:tcW w:type="dxa" w:w="1626"/>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Inf % (ACI / MARS)</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0.950 / 0.950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0.069 / 0.064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0.0303 / 0.0274</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0.47 / 0.14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 / 0.900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0.050 / 0.049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0.0474 / 0.0414</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 / 0.03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ELEC2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0.800 / 0.801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0.035 / 0.034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0.0688 / 0.0596</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0.950 / 0.949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7.536 / 5.884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0.0343 / 0.0354</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1.42 / 0.77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 / 0.899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5.531 / 4.311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0.0513 / 0.0502</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0.75 / 0.03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MachineTemp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0.800 / 0.800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3.922 / 3.319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0.0694 / 0.0631</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0.950 / 0.949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9.875 / 9.870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0.0201 / 0.0205</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0.899 / 0.898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8.071 / 8.066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0.0283 / 0.0287</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MelbTemp</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0.799 / 0.799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6.130 / 6.125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0.0394 / 0.0398</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0.950 / 0.950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2.428 / 2.428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0.0196 / 0.0189</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0.900 / 0.900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1.831 / 1.838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0.0302 / 0.0276</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Power</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0.800 / 0.800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1.254 / 1.250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0.0416 / 0.0374</w:t>
            </w:r>
          </w:p>
        </w:tc>
        <w:tc>
          <w:tcPr>
            <w:tcW w:type="dxa" w:w="1626"/>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0.00 / 0.00</w:t>
            </w:r>
          </w:p>
        </w:tc>
      </w:tr>
    </w:tbl>
    <w:p>
      <w:pPr>
        <w:spacing w:after="160"/>
      </w:pPr>
    </w:p>
    <w:p>
      <w:pPr>
        <w:pStyle w:val="Heading2"/>
        <w:spacing w:after="100" w:before="200"/>
      </w:pPr>
      <w:r>
        <w:rPr>
          <w:rFonts w:ascii="Times New Roman" w:cs="Times New Roman" w:eastAsia="Times New Roman" w:hAnsi="Times New Roman"/>
        </w:rPr>
        <w:t xml:space="preserve">7.7 Computational cost</w:t>
      </w:r>
    </w:p>
    <w:p>
      <w:pPr>
        <w:spacing w:after="120" w:line="300"/>
        <w:jc w:val="both"/>
      </w:pPr>
      <w:r>
        <w:rPr>
          <w:rFonts w:ascii="Times New Roman" w:cs="Times New Roman" w:eastAsia="Times New Roman" w:hAnsi="Times New Roman"/>
        </w:rPr>
        <w:t xml:space="preserve">The per-step cost (Table 5) of MARS(ACI) is 0.035–0.045 ms, and that of MARS(DtACI) 0.07–0.08 ms, on a single CPU core. This is about 10× the cost of ACI’s bare update but negligible next to any forecaster evaluation: the whole ELEC2 stream is processed in under 4 s. MARS(QT) is cheaper than MARS(ACI) (0.014–0.026 ms/step) because QT requires no quantile computation.</w:t>
      </w:r>
    </w:p>
    <w:p>
      <w:pPr>
        <w:pStyle w:val="Heading1"/>
        <w:spacing w:after="140" w:before="280"/>
      </w:pPr>
      <w:r>
        <w:rPr>
          <w:rFonts w:ascii="Times New Roman" w:cs="Times New Roman" w:eastAsia="Times New Roman" w:hAnsi="Times New Roman"/>
        </w:rPr>
        <w:t xml:space="preserve">8 Discussion</w:t>
      </w:r>
    </w:p>
    <w:p>
      <w:pPr>
        <w:spacing w:after="120" w:line="300"/>
        <w:jc w:val="both"/>
      </w:pPr>
      <w:r>
        <w:rPr>
          <w:rFonts w:ascii="Times New Roman" w:cs="Times New Roman" w:eastAsia="Times New Roman" w:hAnsi="Times New Roman"/>
          <w:b/>
          <w:bCs/>
        </w:rPr>
        <w:t xml:space="preserve">When does MARS-CP help?</w:t>
      </w:r>
      <w:r>
        <w:rPr>
          <w:rFonts w:ascii="Times New Roman" w:cs="Times New Roman" w:eastAsia="Times New Roman" w:hAnsi="Times New Roman"/>
        </w:rPr>
        <w:t xml:space="preserve"> The gains are largest when the inner updater is slow (ACI with a small γ) and when the stream has abrupt or recurring regime changes, including changes that make the stream </w:t>
      </w:r>
      <w:r>
        <w:rPr>
          <w:rFonts w:ascii="Times New Roman" w:cs="Times New Roman" w:eastAsia="Times New Roman" w:hAnsi="Times New Roman"/>
          <w:i/>
          <w:iCs/>
        </w:rPr>
        <w:t xml:space="preserve">easier</w:t>
      </w:r>
      <w:r>
        <w:rPr>
          <w:rFonts w:ascii="Times New Roman" w:cs="Times New Roman" w:eastAsia="Times New Roman" w:hAnsi="Times New Roman"/>
        </w:rPr>
        <w:t xml:space="preserve">. In these conditions an explicit, evidence-based reset replaces hundreds of small corrective steps with a single rebuild of the calibration buffer. For updaters that already adapt quickly (QT and DtACI), the wrapper mainly improves efficiency: intervals are narrower, infinite intervals rarer, and under-coverage periods shorter, while long-run coverage is unchanged.</w:t>
      </w:r>
    </w:p>
    <w:p>
      <w:pPr>
        <w:spacing w:after="120" w:line="300"/>
        <w:jc w:val="both"/>
      </w:pPr>
      <w:r>
        <w:rPr>
          <w:rFonts w:ascii="Times New Roman" w:cs="Times New Roman" w:eastAsia="Times New Roman" w:hAnsi="Times New Roman"/>
          <w:b/>
          <w:bCs/>
        </w:rPr>
        <w:t xml:space="preserve">When does it hurt?</w:t>
      </w:r>
      <w:r>
        <w:rPr>
          <w:rFonts w:ascii="Times New Roman" w:cs="Times New Roman" w:eastAsia="Times New Roman" w:hAnsi="Times New Roman"/>
        </w:rPr>
        <w:t xml:space="preserve"> Under slow gradual drift (S2), a detector designed for piecewise-exchangeable data fires repeatedly as the drift accumulates, and each reset throws away scores that remained informative. A practitioner who expects smooth drift should either use a smaller δ (which delays alarms), increase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or simply rely on the inner updater. A natural remedy is to combine regime resets with the weighted conformal schemes of Barber et al. (2023), which down-weight rather than discard old scores. The lower worst-case rolling coverage on MachineTemp reveals a related tension: a fresh buffer adapts quickly but is statistically fragile for its first few dozen observations. The conservative bridge mitigates this for 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 steps, and extending the bridge adaptively is a promising direction.</w:t>
      </w:r>
    </w:p>
    <w:p>
      <w:pPr>
        <w:spacing w:after="120" w:line="300"/>
        <w:jc w:val="both"/>
      </w:pPr>
      <w:r>
        <w:rPr>
          <w:rFonts w:ascii="Times New Roman" w:cs="Times New Roman" w:eastAsia="Times New Roman" w:hAnsi="Times New Roman"/>
          <w:b/>
          <w:bCs/>
        </w:rPr>
        <w:t xml:space="preserve">Regime memory.</w:t>
      </w:r>
      <w:r>
        <w:rPr>
          <w:rFonts w:ascii="Times New Roman" w:cs="Times New Roman" w:eastAsia="Times New Roman" w:hAnsi="Times New Roman"/>
        </w:rPr>
        <w:t xml:space="preserve"> Our hypothesis that recalling past regimes would speed recovery on recurring shifts was not supported: the memory module is roughly neutral. Its effectiveness is bounded below by the detection delay, because recall can only occur after an alarm. A faster, possibly less conservative, recurrence detector that runs </w:t>
      </w:r>
      <w:r>
        <w:rPr>
          <w:rFonts w:ascii="Times New Roman" w:cs="Times New Roman" w:eastAsia="Times New Roman" w:hAnsi="Times New Roman"/>
          <w:i/>
          <w:iCs/>
        </w:rPr>
        <w:t xml:space="preserve">in parallel</w:t>
      </w:r>
      <w:r>
        <w:rPr>
          <w:rFonts w:ascii="Times New Roman" w:cs="Times New Roman" w:eastAsia="Times New Roman" w:hAnsi="Times New Roman"/>
        </w:rPr>
        <w:t xml:space="preserve"> with the martingale would be needed to exploit recurrence, and we report the negative result so that future work can build on it.</w:t>
      </w:r>
    </w:p>
    <w:p>
      <w:pPr>
        <w:spacing w:after="120" w:line="300"/>
        <w:jc w:val="both"/>
      </w:pPr>
      <w:r>
        <w:rPr>
          <w:rFonts w:ascii="Times New Roman" w:cs="Times New Roman" w:eastAsia="Times New Roman" w:hAnsi="Times New Roman"/>
          <w:b/>
          <w:bCs/>
        </w:rPr>
        <w:t xml:space="preserve">Guarantees and scope.</w:t>
      </w:r>
      <w:r>
        <w:rPr>
          <w:rFonts w:ascii="Times New Roman" w:cs="Times New Roman" w:eastAsia="Times New Roman" w:hAnsi="Times New Roman"/>
        </w:rPr>
        <w:t xml:space="preserve"> MARS-CP inherits marginal long-run coverage from its inner updater, degraded only by the number of re-initialisations (Proposition 2), and adds a false-alarm guarantee that makes its interventions interpretable: each reset is backed by evidence of non-exchangeability at level δ. Like all online CP methods, it provides no conditional coverage and treats the forecaster as fixed between refits; the refit schedule itself can induce score shifts, which the martingale may detect.</w:t>
      </w:r>
    </w:p>
    <w:p>
      <w:pPr>
        <w:pStyle w:val="Heading2"/>
        <w:spacing w:after="100" w:before="200"/>
      </w:pPr>
      <w:r>
        <w:rPr>
          <w:rFonts w:ascii="Times New Roman" w:cs="Times New Roman" w:eastAsia="Times New Roman" w:hAnsi="Times New Roman"/>
        </w:rPr>
        <w:t xml:space="preserve">8.1 Limitations and future work</w:t>
      </w:r>
    </w:p>
    <w:p>
      <w:pPr>
        <w:pStyle w:val="ListParagraph"/>
        <w:numPr>
          <w:ilvl w:val="0"/>
          <w:numId w:val="3"/>
        </w:numPr>
        <w:spacing w:after="80" w:line="290"/>
        <w:jc w:val="both"/>
      </w:pPr>
      <w:r>
        <w:rPr>
          <w:rFonts w:ascii="Times New Roman" w:cs="Times New Roman" w:eastAsia="Times New Roman" w:hAnsi="Times New Roman"/>
        </w:rPr>
        <w:t xml:space="preserve">Experiments cover univariate regression with absolute-residual scores. Extensions to classification (e.g. adaptive prediction sets), to multivariate or quantile-regression scores such as conformalized quantile regression (Romano et al., 2019), and to high-dimensional deep-learning pipelines remain to be evaluated.</w:t>
      </w:r>
    </w:p>
    <w:p>
      <w:pPr>
        <w:pStyle w:val="ListParagraph"/>
        <w:numPr>
          <w:ilvl w:val="0"/>
          <w:numId w:val="3"/>
        </w:numPr>
        <w:spacing w:after="80" w:line="290"/>
        <w:jc w:val="both"/>
      </w:pPr>
      <w:r>
        <w:rPr>
          <w:rFonts w:ascii="Times New Roman" w:cs="Times New Roman" w:eastAsia="Times New Roman" w:hAnsi="Times New Roman"/>
        </w:rPr>
        <w:t xml:space="preserve">We compare against ACI, QT and DtACI, which the wrapper can host, but not against SAOCP (Bhatnagar et al., 2023), RetroAdj (Jun &amp; Ohn, 2026) or CPTC (Sun &amp; Yu, 2025), which require different interfaces (scale-free learners, leave-one-out-updatable regressors and switching state-space forecasters respectively). Wrapping SAOCP is straightforward and is planned.</w:t>
      </w:r>
    </w:p>
    <w:p>
      <w:pPr>
        <w:pStyle w:val="ListParagraph"/>
        <w:numPr>
          <w:ilvl w:val="0"/>
          <w:numId w:val="3"/>
        </w:numPr>
        <w:spacing w:after="80" w:line="290"/>
        <w:jc w:val="both"/>
      </w:pPr>
      <w:r>
        <w:rPr>
          <w:rFonts w:ascii="Times New Roman" w:cs="Times New Roman" w:eastAsia="Times New Roman" w:hAnsi="Times New Roman"/>
        </w:rPr>
        <w:t xml:space="preserve">The false-alarm guarantee assumes exchangeability within regimes. For autocorrelated residuals it holds only approximately, which partly explains the frequent alarms on ELEC2. Block-wise or weighted conformal martingales (Prinster et al., 2025) could restore validity under dependence.</w:t>
      </w:r>
    </w:p>
    <w:p>
      <w:pPr>
        <w:pStyle w:val="ListParagraph"/>
        <w:numPr>
          <w:ilvl w:val="0"/>
          <w:numId w:val="3"/>
        </w:numPr>
        <w:spacing w:after="80" w:line="290"/>
        <w:jc w:val="both"/>
      </w:pPr>
      <w:r>
        <w:rPr>
          <w:rFonts w:ascii="Times New Roman" w:cs="Times New Roman" w:eastAsia="Times New Roman" w:hAnsi="Times New Roman"/>
        </w:rPr>
        <w:t xml:space="preserve">Hyperparameters were tuned on synthetic validation seeds only; per-domain tuning could change the magnitude of the real-data effects in either direction.</w:t>
      </w:r>
    </w:p>
    <w:p>
      <w:pPr>
        <w:pStyle w:val="Heading1"/>
        <w:spacing w:after="140" w:before="280"/>
      </w:pPr>
      <w:r>
        <w:rPr>
          <w:rFonts w:ascii="Times New Roman" w:cs="Times New Roman" w:eastAsia="Times New Roman" w:hAnsi="Times New Roman"/>
        </w:rPr>
        <w:t xml:space="preserve">9 Conclusion</w:t>
      </w:r>
    </w:p>
    <w:p>
      <w:pPr>
        <w:spacing w:after="120" w:line="300"/>
        <w:jc w:val="both"/>
      </w:pPr>
      <w:r>
        <w:rPr>
          <w:rFonts w:ascii="Times New Roman" w:cs="Times New Roman" w:eastAsia="Times New Roman" w:hAnsi="Times New Roman"/>
        </w:rPr>
        <w:t xml:space="preserve">We introduced MARS-CP, a plug-in wrapper that gives online conformal predictors an explicit and statistically controlled notion of regime. A two-sided conformal test martingale with anytime false-alarm control decides when calibration history has become obsolete, change localisation and a conservative bridge rebuild the calibration buffer, and the inner updater (ACI, QT or DtACI) is re-initialised. The wrapper provably reduces to its inner updater on exchangeable data with probability at least 1 − δ and keeps long-run coverage when the number of re-initialisations grows sublinearly. Empirically, it substantially improves ACI on abrupt and recurring shifts (up to 29% lower local coverage error, 57% less under-coverage time and 22% narrower intervals on an industrial stream), gives consistent efficiency gains for DtACI on abrupt shifts, and is roughly neutral for quantile tracking. It degrades under slow gradual drift, and its regime-memory module is not yet effective. These results suggest that detecting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to adapt is a useful, largely orthogonal complement to research on </w:t>
      </w:r>
      <w:r>
        <w:rPr>
          <w:rFonts w:ascii="Times New Roman" w:cs="Times New Roman" w:eastAsia="Times New Roman" w:hAnsi="Times New Roman"/>
          <w:i/>
          <w:iCs/>
        </w:rPr>
        <w:t xml:space="preserve">how</w:t>
      </w:r>
      <w:r>
        <w:rPr>
          <w:rFonts w:ascii="Times New Roman" w:cs="Times New Roman" w:eastAsia="Times New Roman" w:hAnsi="Times New Roman"/>
        </w:rPr>
        <w:t xml:space="preserve"> to adapt in online conformal prediction.</w:t>
      </w:r>
    </w:p>
    <w:p>
      <w:pPr>
        <w:pStyle w:val="Heading1"/>
        <w:spacing w:after="140" w:before="280"/>
      </w:pPr>
      <w:r>
        <w:rPr>
          <w:rFonts w:ascii="Times New Roman" w:cs="Times New Roman" w:eastAsia="Times New Roman" w:hAnsi="Times New Roman"/>
        </w:rPr>
        <w:t xml:space="preserve">Statements and Declarations</w:t>
      </w:r>
    </w:p>
    <w:p>
      <w:pPr>
        <w:spacing w:after="120" w:line="300"/>
        <w:jc w:val="both"/>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The authors did not receive support from any organization for the submitted work.</w:t>
      </w:r>
    </w:p>
    <w:p>
      <w:pPr>
        <w:spacing w:after="120" w:line="300"/>
        <w:jc w:val="both"/>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The authors have no competing interests to declare that are relevant to the content of this article.</w:t>
      </w:r>
    </w:p>
    <w:p>
      <w:pPr>
        <w:spacing w:after="120" w:line="300"/>
        <w:jc w:val="both"/>
      </w:pPr>
      <w:r>
        <w:rPr>
          <w:rFonts w:ascii="Times New Roman" w:cs="Times New Roman" w:eastAsia="Times New Roman" w:hAnsi="Times New Roman"/>
          <w:b/>
          <w:bCs/>
        </w:rPr>
        <w:t xml:space="preserve">Ethics approval</w:t>
      </w:r>
      <w:r>
        <w:rPr>
          <w:rFonts w:ascii="Times New Roman" w:cs="Times New Roman" w:eastAsia="Times New Roman" w:hAnsi="Times New Roman"/>
        </w:rPr>
        <w:t xml:space="preserve"> Not applicable; the study uses only public, non-personal data.</w:t>
      </w:r>
    </w:p>
    <w:p>
      <w:pPr>
        <w:spacing w:after="120" w:line="300"/>
        <w:jc w:val="both"/>
      </w:pPr>
      <w:r>
        <w:rPr>
          <w:rFonts w:ascii="Times New Roman" w:cs="Times New Roman" w:eastAsia="Times New Roman" w:hAnsi="Times New Roman"/>
          <w:b/>
          <w:bCs/>
        </w:rPr>
        <w:t xml:space="preserve">Consent to participate</w:t>
      </w:r>
      <w:r>
        <w:rPr>
          <w:rFonts w:ascii="Times New Roman" w:cs="Times New Roman" w:eastAsia="Times New Roman" w:hAnsi="Times New Roman"/>
        </w:rPr>
        <w:t xml:space="preserve"> Not applicable.</w:t>
      </w:r>
    </w:p>
    <w:p>
      <w:pPr>
        <w:spacing w:after="120" w:line="300"/>
        <w:jc w:val="both"/>
      </w:pPr>
      <w:r>
        <w:rPr>
          <w:rFonts w:ascii="Times New Roman" w:cs="Times New Roman" w:eastAsia="Times New Roman" w:hAnsi="Times New Roman"/>
          <w:b/>
          <w:bCs/>
        </w:rPr>
        <w:t xml:space="preserve">Consent for publication</w:t>
      </w:r>
      <w:r>
        <w:rPr>
          <w:rFonts w:ascii="Times New Roman" w:cs="Times New Roman" w:eastAsia="Times New Roman" w:hAnsi="Times New Roman"/>
        </w:rPr>
        <w:t xml:space="preserve"> Not applicable.</w:t>
      </w:r>
    </w:p>
    <w:p>
      <w:pPr>
        <w:spacing w:after="120" w:line="300"/>
        <w:jc w:val="both"/>
      </w:pP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All datasets analysed in this study are publicly available: ELEC2 (Harries, 1999), from the scikit-multiflow streaming-datasets repository; the UCI Individual Household Electric Power Consumption dataset (Hébrail &amp; Bérard, 2012); the Melbourne daily minimum temperature series (public CSV); and the NAB machine_temperature_system_failure series (Lavin &amp; Ahmad, 2015). The per-seed results underlying every table are included in the code repository.</w:t>
      </w:r>
    </w:p>
    <w:p>
      <w:pPr>
        <w:spacing w:after="120" w:line="300"/>
        <w:jc w:val="both"/>
      </w:pPr>
      <w:r>
        <w:rPr>
          <w:rFonts w:ascii="Times New Roman" w:cs="Times New Roman" w:eastAsia="Times New Roman" w:hAnsi="Times New Roman"/>
          <w:b/>
          <w:bCs/>
        </w:rPr>
        <w:t xml:space="preserve">Code availability</w:t>
      </w:r>
      <w:r>
        <w:rPr>
          <w:rFonts w:ascii="Times New Roman" w:cs="Times New Roman" w:eastAsia="Times New Roman" w:hAnsi="Times New Roman"/>
        </w:rPr>
        <w:t xml:space="preserve"> The complete implementation (methods, data preparation, experiment and figure scripts) is available at https://github.com/GArulDalton/mars-cp.</w:t>
      </w:r>
    </w:p>
    <w:p>
      <w:pPr>
        <w:spacing w:after="120" w:line="300"/>
        <w:jc w:val="both"/>
      </w:pPr>
      <w:r>
        <w:rPr>
          <w:rFonts w:ascii="Times New Roman" w:cs="Times New Roman" w:eastAsia="Times New Roman" w:hAnsi="Times New Roman"/>
          <w:b/>
          <w:bCs/>
        </w:rPr>
        <w:t xml:space="preserve">Author contributions</w:t>
      </w:r>
      <w:r>
        <w:rPr>
          <w:rFonts w:ascii="Times New Roman" w:cs="Times New Roman" w:eastAsia="Times New Roman" w:hAnsi="Times New Roman"/>
        </w:rPr>
        <w:t xml:space="preserve"> Conceptualization: G. Arul Dalton; Methodology: G. Arul Dalton; Software: G. Arul Dalton; Formal analysis and investigation: G. Arul Dalton, P. Sankar; Validation: P. Sankar; Visualization: P. Sankar; Writing – original draft preparation: G. Arul Dalton; Writing – review and editing: P. Sankar, G. Arul Dalton; Supervision: G. Arul Dalton. All authors read and approved the final manuscript.</w:t>
      </w:r>
    </w:p>
    <w:p>
      <w:pPr>
        <w:pStyle w:val="Heading1"/>
        <w:spacing w:after="140" w:before="280"/>
      </w:pPr>
      <w:r>
        <w:rPr>
          <w:rFonts w:ascii="Times New Roman" w:cs="Times New Roman" w:eastAsia="Times New Roman" w:hAnsi="Times New Roman"/>
        </w:rPr>
        <w:t xml:space="preserve">References</w:t>
      </w:r>
    </w:p>
    <w:p>
      <w:pPr>
        <w:spacing w:after="60" w:line="260"/>
        <w:ind w:left="440" w:hanging="440"/>
      </w:pPr>
      <w:r>
        <w:rPr>
          <w:rFonts w:ascii="Times New Roman" w:cs="Times New Roman" w:eastAsia="Times New Roman" w:hAnsi="Times New Roman"/>
          <w:sz w:val="19"/>
          <w:szCs w:val="19"/>
        </w:rPr>
        <w:t xml:space="preserve">Adams, R. P., &amp; MacKay, D. J. C. (2007). Bayesian online changepoint detection. </w:t>
      </w:r>
      <w:r>
        <w:rPr>
          <w:rFonts w:ascii="Times New Roman" w:cs="Times New Roman" w:eastAsia="Times New Roman" w:hAnsi="Times New Roman"/>
          <w:i/>
          <w:iCs/>
          <w:sz w:val="19"/>
          <w:szCs w:val="19"/>
        </w:rPr>
        <w:t xml:space="preserve">arXiv preprint</w:t>
      </w:r>
      <w:r>
        <w:rPr>
          <w:rFonts w:ascii="Times New Roman" w:cs="Times New Roman" w:eastAsia="Times New Roman" w:hAnsi="Times New Roman"/>
          <w:sz w:val="19"/>
          <w:szCs w:val="19"/>
        </w:rPr>
        <w:t xml:space="preserve"> arXiv:0710.3742.</w:t>
      </w:r>
    </w:p>
    <w:p>
      <w:pPr>
        <w:spacing w:after="60" w:line="260"/>
        <w:ind w:left="440" w:hanging="440"/>
      </w:pPr>
      <w:r>
        <w:rPr>
          <w:rFonts w:ascii="Times New Roman" w:cs="Times New Roman" w:eastAsia="Times New Roman" w:hAnsi="Times New Roman"/>
          <w:sz w:val="19"/>
          <w:szCs w:val="19"/>
        </w:rPr>
        <w:t xml:space="preserve">Angelopoulos, A. N., &amp; Bates, S. (2023). Conformal prediction: A gentle introduction. </w:t>
      </w:r>
      <w:r>
        <w:rPr>
          <w:rFonts w:ascii="Times New Roman" w:cs="Times New Roman" w:eastAsia="Times New Roman" w:hAnsi="Times New Roman"/>
          <w:i/>
          <w:iCs/>
          <w:sz w:val="19"/>
          <w:szCs w:val="19"/>
        </w:rPr>
        <w:t xml:space="preserve">Foundations and Trends in Machine Learning, 16</w:t>
      </w:r>
      <w:r>
        <w:rPr>
          <w:rFonts w:ascii="Times New Roman" w:cs="Times New Roman" w:eastAsia="Times New Roman" w:hAnsi="Times New Roman"/>
          <w:sz w:val="19"/>
          <w:szCs w:val="19"/>
        </w:rPr>
        <w:t xml:space="preserve">(4), 494–591. https://doi.org/10.1561/2200000101</w:t>
      </w:r>
    </w:p>
    <w:p>
      <w:pPr>
        <w:spacing w:after="60" w:line="260"/>
        <w:ind w:left="440" w:hanging="440"/>
      </w:pPr>
      <w:r>
        <w:rPr>
          <w:rFonts w:ascii="Times New Roman" w:cs="Times New Roman" w:eastAsia="Times New Roman" w:hAnsi="Times New Roman"/>
          <w:sz w:val="19"/>
          <w:szCs w:val="19"/>
        </w:rPr>
        <w:t xml:space="preserve">Angelopoulos, A. N., Candès, E. J., &amp; Tibshirani, R. J. (2023). Conformal PID control for time series prediction. In </w:t>
      </w:r>
      <w:r>
        <w:rPr>
          <w:rFonts w:ascii="Times New Roman" w:cs="Times New Roman" w:eastAsia="Times New Roman" w:hAnsi="Times New Roman"/>
          <w:i/>
          <w:iCs/>
          <w:sz w:val="19"/>
          <w:szCs w:val="19"/>
        </w:rPr>
        <w:t xml:space="preserve">Advances in Neural Information Processing Systems</w:t>
      </w:r>
      <w:r>
        <w:rPr>
          <w:rFonts w:ascii="Times New Roman" w:cs="Times New Roman" w:eastAsia="Times New Roman" w:hAnsi="Times New Roman"/>
          <w:sz w:val="19"/>
          <w:szCs w:val="19"/>
        </w:rPr>
        <w:t xml:space="preserve"> (Vol. 36).</w:t>
      </w:r>
    </w:p>
    <w:p>
      <w:pPr>
        <w:spacing w:after="60" w:line="260"/>
        <w:ind w:left="440" w:hanging="440"/>
      </w:pPr>
      <w:r>
        <w:rPr>
          <w:rFonts w:ascii="Times New Roman" w:cs="Times New Roman" w:eastAsia="Times New Roman" w:hAnsi="Times New Roman"/>
          <w:sz w:val="19"/>
          <w:szCs w:val="19"/>
        </w:rPr>
        <w:t xml:space="preserve">Barber, R. F., Candès, E. J., Ramdas, A., &amp; Tibshirani, R. J. (2023). Conformal prediction beyond exchangeability. </w:t>
      </w:r>
      <w:r>
        <w:rPr>
          <w:rFonts w:ascii="Times New Roman" w:cs="Times New Roman" w:eastAsia="Times New Roman" w:hAnsi="Times New Roman"/>
          <w:i/>
          <w:iCs/>
          <w:sz w:val="19"/>
          <w:szCs w:val="19"/>
        </w:rPr>
        <w:t xml:space="preserve">The Annals of Statistics, 51</w:t>
      </w:r>
      <w:r>
        <w:rPr>
          <w:rFonts w:ascii="Times New Roman" w:cs="Times New Roman" w:eastAsia="Times New Roman" w:hAnsi="Times New Roman"/>
          <w:sz w:val="19"/>
          <w:szCs w:val="19"/>
        </w:rPr>
        <w:t xml:space="preserve">(2), 816–845. https://doi.org/10.1214/23-AOS2276</w:t>
      </w:r>
    </w:p>
    <w:p>
      <w:pPr>
        <w:spacing w:after="60" w:line="260"/>
        <w:ind w:left="440" w:hanging="440"/>
      </w:pPr>
      <w:r>
        <w:rPr>
          <w:rFonts w:ascii="Times New Roman" w:cs="Times New Roman" w:eastAsia="Times New Roman" w:hAnsi="Times New Roman"/>
          <w:sz w:val="19"/>
          <w:szCs w:val="19"/>
        </w:rPr>
        <w:t xml:space="preserve">Bhatnagar, A., Wang, H., Xiong, C., &amp; Bai, Y. (2023). Improved online conformal prediction via strongly adaptive online learning. In </w:t>
      </w:r>
      <w:r>
        <w:rPr>
          <w:rFonts w:ascii="Times New Roman" w:cs="Times New Roman" w:eastAsia="Times New Roman" w:hAnsi="Times New Roman"/>
          <w:i/>
          <w:iCs/>
          <w:sz w:val="19"/>
          <w:szCs w:val="19"/>
        </w:rPr>
        <w:t xml:space="preserve">Proceedings of the 40th International Conference on Machine Learning</w:t>
      </w:r>
      <w:r>
        <w:rPr>
          <w:rFonts w:ascii="Times New Roman" w:cs="Times New Roman" w:eastAsia="Times New Roman" w:hAnsi="Times New Roman"/>
          <w:sz w:val="19"/>
          <w:szCs w:val="19"/>
        </w:rPr>
        <w:t xml:space="preserve"> (PMLR Vol. 202, pp. 2337–2363).</w:t>
      </w:r>
    </w:p>
    <w:p>
      <w:pPr>
        <w:spacing w:after="60" w:line="260"/>
        <w:ind w:left="440" w:hanging="440"/>
      </w:pPr>
      <w:r>
        <w:rPr>
          <w:rFonts w:ascii="Times New Roman" w:cs="Times New Roman" w:eastAsia="Times New Roman" w:hAnsi="Times New Roman"/>
          <w:sz w:val="19"/>
          <w:szCs w:val="19"/>
        </w:rPr>
        <w:t xml:space="preserve">Bifet, A., &amp; Gavaldà, R. (2007). Learning from time-changing data with adaptive windowing. In </w:t>
      </w:r>
      <w:r>
        <w:rPr>
          <w:rFonts w:ascii="Times New Roman" w:cs="Times New Roman" w:eastAsia="Times New Roman" w:hAnsi="Times New Roman"/>
          <w:i/>
          <w:iCs/>
          <w:sz w:val="19"/>
          <w:szCs w:val="19"/>
        </w:rPr>
        <w:t xml:space="preserve">Proceedings of the 2007 SIAM International Conference on Data Mining</w:t>
      </w:r>
      <w:r>
        <w:rPr>
          <w:rFonts w:ascii="Times New Roman" w:cs="Times New Roman" w:eastAsia="Times New Roman" w:hAnsi="Times New Roman"/>
          <w:sz w:val="19"/>
          <w:szCs w:val="19"/>
        </w:rPr>
        <w:t xml:space="preserve"> (pp. 443–448).</w:t>
      </w:r>
    </w:p>
    <w:p>
      <w:pPr>
        <w:spacing w:after="60" w:line="260"/>
        <w:ind w:left="440" w:hanging="440"/>
      </w:pPr>
      <w:r>
        <w:rPr>
          <w:rFonts w:ascii="Times New Roman" w:cs="Times New Roman" w:eastAsia="Times New Roman" w:hAnsi="Times New Roman"/>
          <w:sz w:val="19"/>
          <w:szCs w:val="19"/>
        </w:rPr>
        <w:t xml:space="preserve">Dinakaran, K., Rajalakshmi, D., &amp; Valarmathie, P. (2020). Efficient pattern matching for uncertain time series data with optimal sampling and dimensionality reduction. </w:t>
      </w:r>
      <w:r>
        <w:rPr>
          <w:rFonts w:ascii="Times New Roman" w:cs="Times New Roman" w:eastAsia="Times New Roman" w:hAnsi="Times New Roman"/>
          <w:i/>
          <w:iCs/>
          <w:sz w:val="19"/>
          <w:szCs w:val="19"/>
        </w:rPr>
        <w:t xml:space="preserve">Microprocessors and Microsystems, 75</w:t>
      </w:r>
      <w:r>
        <w:rPr>
          <w:rFonts w:ascii="Times New Roman" w:cs="Times New Roman" w:eastAsia="Times New Roman" w:hAnsi="Times New Roman"/>
          <w:sz w:val="19"/>
          <w:szCs w:val="19"/>
        </w:rPr>
        <w:t xml:space="preserve">, Article 103057. https://doi.org/10.1016/j.micpro.2020.103057</w:t>
      </w:r>
    </w:p>
    <w:p>
      <w:pPr>
        <w:spacing w:after="60" w:line="260"/>
        <w:ind w:left="440" w:hanging="440"/>
      </w:pPr>
      <w:r>
        <w:rPr>
          <w:rFonts w:ascii="Times New Roman" w:cs="Times New Roman" w:eastAsia="Times New Roman" w:hAnsi="Times New Roman"/>
          <w:sz w:val="19"/>
          <w:szCs w:val="19"/>
        </w:rPr>
        <w:t xml:space="preserve">Gama, J., Žliobaitė, I., Bifet, A., Pechenizkiy, M., &amp; Bouchachia, A. (2014). A survey on concept drift adaptation. </w:t>
      </w:r>
      <w:r>
        <w:rPr>
          <w:rFonts w:ascii="Times New Roman" w:cs="Times New Roman" w:eastAsia="Times New Roman" w:hAnsi="Times New Roman"/>
          <w:i/>
          <w:iCs/>
          <w:sz w:val="19"/>
          <w:szCs w:val="19"/>
        </w:rPr>
        <w:t xml:space="preserve">ACM Computing Surveys, 46</w:t>
      </w:r>
      <w:r>
        <w:rPr>
          <w:rFonts w:ascii="Times New Roman" w:cs="Times New Roman" w:eastAsia="Times New Roman" w:hAnsi="Times New Roman"/>
          <w:sz w:val="19"/>
          <w:szCs w:val="19"/>
        </w:rPr>
        <w:t xml:space="preserve">(4), Article 44. https://doi.org/10.1145/2523813</w:t>
      </w:r>
    </w:p>
    <w:p>
      <w:pPr>
        <w:spacing w:after="60" w:line="260"/>
        <w:ind w:left="440" w:hanging="440"/>
      </w:pPr>
      <w:r>
        <w:rPr>
          <w:rFonts w:ascii="Times New Roman" w:cs="Times New Roman" w:eastAsia="Times New Roman" w:hAnsi="Times New Roman"/>
          <w:sz w:val="19"/>
          <w:szCs w:val="19"/>
        </w:rPr>
        <w:t xml:space="preserve">Gibbs, I., &amp; Candès, E. J. (2021). Adaptive conformal inference under distribution shift. In </w:t>
      </w:r>
      <w:r>
        <w:rPr>
          <w:rFonts w:ascii="Times New Roman" w:cs="Times New Roman" w:eastAsia="Times New Roman" w:hAnsi="Times New Roman"/>
          <w:i/>
          <w:iCs/>
          <w:sz w:val="19"/>
          <w:szCs w:val="19"/>
        </w:rPr>
        <w:t xml:space="preserve">Advances in Neural Information Processing Systems</w:t>
      </w:r>
      <w:r>
        <w:rPr>
          <w:rFonts w:ascii="Times New Roman" w:cs="Times New Roman" w:eastAsia="Times New Roman" w:hAnsi="Times New Roman"/>
          <w:sz w:val="19"/>
          <w:szCs w:val="19"/>
        </w:rPr>
        <w:t xml:space="preserve"> (Vol. 34, pp. 1660–1672).</w:t>
      </w:r>
    </w:p>
    <w:p>
      <w:pPr>
        <w:spacing w:after="60" w:line="260"/>
        <w:ind w:left="440" w:hanging="440"/>
      </w:pPr>
      <w:r>
        <w:rPr>
          <w:rFonts w:ascii="Times New Roman" w:cs="Times New Roman" w:eastAsia="Times New Roman" w:hAnsi="Times New Roman"/>
          <w:sz w:val="19"/>
          <w:szCs w:val="19"/>
        </w:rPr>
        <w:t xml:space="preserve">Gibbs, I., &amp; Candès, E. J. (2024). Conformal inference for online prediction with arbitrary distribution shifts. </w:t>
      </w:r>
      <w:r>
        <w:rPr>
          <w:rFonts w:ascii="Times New Roman" w:cs="Times New Roman" w:eastAsia="Times New Roman" w:hAnsi="Times New Roman"/>
          <w:i/>
          <w:iCs/>
          <w:sz w:val="19"/>
          <w:szCs w:val="19"/>
        </w:rPr>
        <w:t xml:space="preserve">Journal of Machine Learning Research, 25</w:t>
      </w:r>
      <w:r>
        <w:rPr>
          <w:rFonts w:ascii="Times New Roman" w:cs="Times New Roman" w:eastAsia="Times New Roman" w:hAnsi="Times New Roman"/>
          <w:sz w:val="19"/>
          <w:szCs w:val="19"/>
        </w:rPr>
        <w:t xml:space="preserve">(162), 1–36.</w:t>
      </w:r>
    </w:p>
    <w:p>
      <w:pPr>
        <w:spacing w:after="60" w:line="260"/>
        <w:ind w:left="440" w:hanging="440"/>
      </w:pPr>
      <w:r>
        <w:rPr>
          <w:rFonts w:ascii="Times New Roman" w:cs="Times New Roman" w:eastAsia="Times New Roman" w:hAnsi="Times New Roman"/>
          <w:sz w:val="19"/>
          <w:szCs w:val="19"/>
        </w:rPr>
        <w:t xml:space="preserve">Harries, M. (1999). </w:t>
      </w:r>
      <w:r>
        <w:rPr>
          <w:rFonts w:ascii="Times New Roman" w:cs="Times New Roman" w:eastAsia="Times New Roman" w:hAnsi="Times New Roman"/>
          <w:i/>
          <w:iCs/>
          <w:sz w:val="19"/>
          <w:szCs w:val="19"/>
        </w:rPr>
        <w:t xml:space="preserve">SPLICE-2 comparative evaluation: Electricity pricing</w:t>
      </w:r>
      <w:r>
        <w:rPr>
          <w:rFonts w:ascii="Times New Roman" w:cs="Times New Roman" w:eastAsia="Times New Roman" w:hAnsi="Times New Roman"/>
          <w:sz w:val="19"/>
          <w:szCs w:val="19"/>
        </w:rPr>
        <w:t xml:space="preserve"> (Technical report). School of Computer Science and Engineering, University of New South Wales.</w:t>
      </w:r>
    </w:p>
    <w:p>
      <w:pPr>
        <w:spacing w:after="60" w:line="260"/>
        <w:ind w:left="440" w:hanging="440"/>
      </w:pPr>
      <w:r>
        <w:rPr>
          <w:rFonts w:ascii="Times New Roman" w:cs="Times New Roman" w:eastAsia="Times New Roman" w:hAnsi="Times New Roman"/>
          <w:sz w:val="19"/>
          <w:szCs w:val="19"/>
        </w:rPr>
        <w:t xml:space="preserve">Hébrail, G., &amp; Bérard, A. (2012). </w:t>
      </w:r>
      <w:r>
        <w:rPr>
          <w:rFonts w:ascii="Times New Roman" w:cs="Times New Roman" w:eastAsia="Times New Roman" w:hAnsi="Times New Roman"/>
          <w:i/>
          <w:iCs/>
          <w:sz w:val="19"/>
          <w:szCs w:val="19"/>
        </w:rPr>
        <w:t xml:space="preserve">Individual household electric power consumption</w:t>
      </w:r>
      <w:r>
        <w:rPr>
          <w:rFonts w:ascii="Times New Roman" w:cs="Times New Roman" w:eastAsia="Times New Roman" w:hAnsi="Times New Roman"/>
          <w:sz w:val="19"/>
          <w:szCs w:val="19"/>
        </w:rPr>
        <w:t xml:space="preserve"> [Dataset]. UCI Machine Learning Repository. https://doi.org/10.24432/C58K54</w:t>
      </w:r>
    </w:p>
    <w:p>
      <w:pPr>
        <w:spacing w:after="60" w:line="260"/>
        <w:ind w:left="440" w:hanging="440"/>
      </w:pPr>
      <w:r>
        <w:rPr>
          <w:rFonts w:ascii="Times New Roman" w:cs="Times New Roman" w:eastAsia="Times New Roman" w:hAnsi="Times New Roman"/>
          <w:sz w:val="19"/>
          <w:szCs w:val="19"/>
        </w:rPr>
        <w:t xml:space="preserve">Hüllermeier, E., &amp; Waegeman, W. (2021). Aleatoric and epistemic uncertainty in machine learning: An introduction to concepts and methods. </w:t>
      </w:r>
      <w:r>
        <w:rPr>
          <w:rFonts w:ascii="Times New Roman" w:cs="Times New Roman" w:eastAsia="Times New Roman" w:hAnsi="Times New Roman"/>
          <w:i/>
          <w:iCs/>
          <w:sz w:val="19"/>
          <w:szCs w:val="19"/>
        </w:rPr>
        <w:t xml:space="preserve">Machine Learning, 110</w:t>
      </w:r>
      <w:r>
        <w:rPr>
          <w:rFonts w:ascii="Times New Roman" w:cs="Times New Roman" w:eastAsia="Times New Roman" w:hAnsi="Times New Roman"/>
          <w:sz w:val="19"/>
          <w:szCs w:val="19"/>
        </w:rPr>
        <w:t xml:space="preserve">(3), 457–506. https://doi.org/10.1007/s10994-021-05946-3</w:t>
      </w:r>
    </w:p>
    <w:p>
      <w:pPr>
        <w:spacing w:after="60" w:line="260"/>
        <w:ind w:left="440" w:hanging="440"/>
      </w:pPr>
      <w:r>
        <w:rPr>
          <w:rFonts w:ascii="Times New Roman" w:cs="Times New Roman" w:eastAsia="Times New Roman" w:hAnsi="Times New Roman"/>
          <w:sz w:val="19"/>
          <w:szCs w:val="19"/>
        </w:rPr>
        <w:t xml:space="preserve">Jun, J., &amp; Ohn, I. (2026). Online conformal inference with retrospective adjustment for faster adaptation to distribution shift. </w:t>
      </w:r>
      <w:r>
        <w:rPr>
          <w:rFonts w:ascii="Times New Roman" w:cs="Times New Roman" w:eastAsia="Times New Roman" w:hAnsi="Times New Roman"/>
          <w:i/>
          <w:iCs/>
          <w:sz w:val="19"/>
          <w:szCs w:val="19"/>
        </w:rPr>
        <w:t xml:space="preserve">Pattern Recognition, 180</w:t>
      </w:r>
      <w:r>
        <w:rPr>
          <w:rFonts w:ascii="Times New Roman" w:cs="Times New Roman" w:eastAsia="Times New Roman" w:hAnsi="Times New Roman"/>
          <w:sz w:val="19"/>
          <w:szCs w:val="19"/>
        </w:rPr>
        <w:t xml:space="preserve">, 114406. https://doi.org/10.1016/j.patcog.2026.114406</w:t>
      </w:r>
    </w:p>
    <w:p>
      <w:pPr>
        <w:spacing w:after="60" w:line="260"/>
        <w:ind w:left="440" w:hanging="440"/>
      </w:pPr>
      <w:r>
        <w:rPr>
          <w:rFonts w:ascii="Times New Roman" w:cs="Times New Roman" w:eastAsia="Times New Roman" w:hAnsi="Times New Roman"/>
          <w:sz w:val="19"/>
          <w:szCs w:val="19"/>
        </w:rPr>
        <w:t xml:space="preserve">Kavitha, S., Bhuvaneswari, N. S., Senthilkumar, R., &amp; Shanker, N. R. (2022). Magnetoresistance sensor-based rotor fault detection in induction motor using non-decimated wavelet and streaming data. </w:t>
      </w:r>
      <w:r>
        <w:rPr>
          <w:rFonts w:ascii="Times New Roman" w:cs="Times New Roman" w:eastAsia="Times New Roman" w:hAnsi="Times New Roman"/>
          <w:i/>
          <w:iCs/>
          <w:sz w:val="19"/>
          <w:szCs w:val="19"/>
        </w:rPr>
        <w:t xml:space="preserve">Automatika, 63</w:t>
      </w:r>
      <w:r>
        <w:rPr>
          <w:rFonts w:ascii="Times New Roman" w:cs="Times New Roman" w:eastAsia="Times New Roman" w:hAnsi="Times New Roman"/>
          <w:sz w:val="19"/>
          <w:szCs w:val="19"/>
        </w:rPr>
        <w:t xml:space="preserve">(3), 525–541. https://doi.org/10.1080/00051144.2022.2052533</w:t>
      </w:r>
    </w:p>
    <w:p>
      <w:pPr>
        <w:spacing w:after="60" w:line="260"/>
        <w:ind w:left="440" w:hanging="440"/>
      </w:pPr>
      <w:r>
        <w:rPr>
          <w:rFonts w:ascii="Times New Roman" w:cs="Times New Roman" w:eastAsia="Times New Roman" w:hAnsi="Times New Roman"/>
          <w:sz w:val="19"/>
          <w:szCs w:val="19"/>
        </w:rPr>
        <w:t xml:space="preserve">Lavin, A., &amp; Ahmad, S. (2015). Evaluating real-time anomaly detection algorithms – the Numenta Anomaly Benchmark. In </w:t>
      </w:r>
      <w:r>
        <w:rPr>
          <w:rFonts w:ascii="Times New Roman" w:cs="Times New Roman" w:eastAsia="Times New Roman" w:hAnsi="Times New Roman"/>
          <w:i/>
          <w:iCs/>
          <w:sz w:val="19"/>
          <w:szCs w:val="19"/>
        </w:rPr>
        <w:t xml:space="preserve">Proceedings of the 14th IEEE International Conference on Machine Learning and Applications</w:t>
      </w:r>
      <w:r>
        <w:rPr>
          <w:rFonts w:ascii="Times New Roman" w:cs="Times New Roman" w:eastAsia="Times New Roman" w:hAnsi="Times New Roman"/>
          <w:sz w:val="19"/>
          <w:szCs w:val="19"/>
        </w:rPr>
        <w:t xml:space="preserve"> (pp. 38–44).</w:t>
      </w:r>
    </w:p>
    <w:p>
      <w:pPr>
        <w:spacing w:after="60" w:line="260"/>
        <w:ind w:left="440" w:hanging="440"/>
      </w:pPr>
      <w:r>
        <w:rPr>
          <w:rFonts w:ascii="Times New Roman" w:cs="Times New Roman" w:eastAsia="Times New Roman" w:hAnsi="Times New Roman"/>
          <w:sz w:val="19"/>
          <w:szCs w:val="19"/>
        </w:rPr>
        <w:t xml:space="preserve">Lei, J., G’Sell, M., Rinaldo, A., Tibshirani, R. J., &amp; Wasserman, L. (2018). Distribution-free predictive inference for regression. </w:t>
      </w:r>
      <w:r>
        <w:rPr>
          <w:rFonts w:ascii="Times New Roman" w:cs="Times New Roman" w:eastAsia="Times New Roman" w:hAnsi="Times New Roman"/>
          <w:i/>
          <w:iCs/>
          <w:sz w:val="19"/>
          <w:szCs w:val="19"/>
        </w:rPr>
        <w:t xml:space="preserve">Journal of the American Statistical Association, 113</w:t>
      </w:r>
      <w:r>
        <w:rPr>
          <w:rFonts w:ascii="Times New Roman" w:cs="Times New Roman" w:eastAsia="Times New Roman" w:hAnsi="Times New Roman"/>
          <w:sz w:val="19"/>
          <w:szCs w:val="19"/>
        </w:rPr>
        <w:t xml:space="preserve">(523), 1094–1111. https://doi.org/10.1080/01621459.2017.1307116</w:t>
      </w:r>
    </w:p>
    <w:p>
      <w:pPr>
        <w:spacing w:after="60" w:line="260"/>
        <w:ind w:left="440" w:hanging="440"/>
      </w:pPr>
      <w:r>
        <w:rPr>
          <w:rFonts w:ascii="Times New Roman" w:cs="Times New Roman" w:eastAsia="Times New Roman" w:hAnsi="Times New Roman"/>
          <w:sz w:val="19"/>
          <w:szCs w:val="19"/>
        </w:rPr>
        <w:t xml:space="preserve">Leong, J. W. (2026). Online shift detection and conformal adaptation for deployed safety classifiers. </w:t>
      </w:r>
      <w:r>
        <w:rPr>
          <w:rFonts w:ascii="Times New Roman" w:cs="Times New Roman" w:eastAsia="Times New Roman" w:hAnsi="Times New Roman"/>
          <w:i/>
          <w:iCs/>
          <w:sz w:val="19"/>
          <w:szCs w:val="19"/>
        </w:rPr>
        <w:t xml:space="preserve">arXiv preprint</w:t>
      </w:r>
      <w:r>
        <w:rPr>
          <w:rFonts w:ascii="Times New Roman" w:cs="Times New Roman" w:eastAsia="Times New Roman" w:hAnsi="Times New Roman"/>
          <w:sz w:val="19"/>
          <w:szCs w:val="19"/>
        </w:rPr>
        <w:t xml:space="preserve"> arXiv:2606.11949.</w:t>
      </w:r>
    </w:p>
    <w:p>
      <w:pPr>
        <w:spacing w:after="60" w:line="260"/>
        <w:ind w:left="440" w:hanging="440"/>
      </w:pPr>
      <w:r>
        <w:rPr>
          <w:rFonts w:ascii="Times New Roman" w:cs="Times New Roman" w:eastAsia="Times New Roman" w:hAnsi="Times New Roman"/>
          <w:sz w:val="19"/>
          <w:szCs w:val="19"/>
        </w:rPr>
        <w:t xml:space="preserve">Lu, J., Liu, A., Dong, F., Gu, F., Gama, J., &amp; Zhang, G. (2019). Learning under concept drift: A review. </w:t>
      </w:r>
      <w:r>
        <w:rPr>
          <w:rFonts w:ascii="Times New Roman" w:cs="Times New Roman" w:eastAsia="Times New Roman" w:hAnsi="Times New Roman"/>
          <w:i/>
          <w:iCs/>
          <w:sz w:val="19"/>
          <w:szCs w:val="19"/>
        </w:rPr>
        <w:t xml:space="preserve">IEEE Transactions on Knowledge and Data Engineering, 31</w:t>
      </w:r>
      <w:r>
        <w:rPr>
          <w:rFonts w:ascii="Times New Roman" w:cs="Times New Roman" w:eastAsia="Times New Roman" w:hAnsi="Times New Roman"/>
          <w:sz w:val="19"/>
          <w:szCs w:val="19"/>
        </w:rPr>
        <w:t xml:space="preserve">(12), 2346–2363. https://doi.org/10.1109/TKDE.2018.2876857</w:t>
      </w:r>
    </w:p>
    <w:p>
      <w:pPr>
        <w:spacing w:after="60" w:line="260"/>
        <w:ind w:left="440" w:hanging="440"/>
      </w:pPr>
      <w:r>
        <w:rPr>
          <w:rFonts w:ascii="Times New Roman" w:cs="Times New Roman" w:eastAsia="Times New Roman" w:hAnsi="Times New Roman"/>
          <w:sz w:val="19"/>
          <w:szCs w:val="19"/>
        </w:rPr>
        <w:t xml:space="preserve">Page, E. S. (1954). Continuous inspection schemes. </w:t>
      </w:r>
      <w:r>
        <w:rPr>
          <w:rFonts w:ascii="Times New Roman" w:cs="Times New Roman" w:eastAsia="Times New Roman" w:hAnsi="Times New Roman"/>
          <w:i/>
          <w:iCs/>
          <w:sz w:val="19"/>
          <w:szCs w:val="19"/>
        </w:rPr>
        <w:t xml:space="preserve">Biometrika, 41</w:t>
      </w:r>
      <w:r>
        <w:rPr>
          <w:rFonts w:ascii="Times New Roman" w:cs="Times New Roman" w:eastAsia="Times New Roman" w:hAnsi="Times New Roman"/>
          <w:sz w:val="19"/>
          <w:szCs w:val="19"/>
        </w:rPr>
        <w:t xml:space="preserve">(1/2), 100–115. https://doi.org/10.1093/biomet/41.1-2.100</w:t>
      </w:r>
    </w:p>
    <w:p>
      <w:pPr>
        <w:spacing w:after="60" w:line="260"/>
        <w:ind w:left="440" w:hanging="440"/>
      </w:pPr>
      <w:r>
        <w:rPr>
          <w:rFonts w:ascii="Times New Roman" w:cs="Times New Roman" w:eastAsia="Times New Roman" w:hAnsi="Times New Roman"/>
          <w:sz w:val="19"/>
          <w:szCs w:val="19"/>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19"/>
          <w:szCs w:val="19"/>
        </w:rPr>
        <w:t xml:space="preserve">Journal of Machine Learning Research, 12</w:t>
      </w:r>
      <w:r>
        <w:rPr>
          <w:rFonts w:ascii="Times New Roman" w:cs="Times New Roman" w:eastAsia="Times New Roman" w:hAnsi="Times New Roman"/>
          <w:sz w:val="19"/>
          <w:szCs w:val="19"/>
        </w:rPr>
        <w:t xml:space="preserve">, 2825–2830.</w:t>
      </w:r>
    </w:p>
    <w:p>
      <w:pPr>
        <w:spacing w:after="60" w:line="260"/>
        <w:ind w:left="440" w:hanging="440"/>
      </w:pPr>
      <w:r>
        <w:rPr>
          <w:rFonts w:ascii="Times New Roman" w:cs="Times New Roman" w:eastAsia="Times New Roman" w:hAnsi="Times New Roman"/>
          <w:sz w:val="19"/>
          <w:szCs w:val="19"/>
        </w:rPr>
        <w:t xml:space="preserve">Podkopaev, A., &amp; Ramdas, A. (2021). Distribution-free uncertainty quantification for classification under label shift. In </w:t>
      </w:r>
      <w:r>
        <w:rPr>
          <w:rFonts w:ascii="Times New Roman" w:cs="Times New Roman" w:eastAsia="Times New Roman" w:hAnsi="Times New Roman"/>
          <w:i/>
          <w:iCs/>
          <w:sz w:val="19"/>
          <w:szCs w:val="19"/>
        </w:rPr>
        <w:t xml:space="preserve">Proceedings of the 37th Conference on Uncertainty in Artificial Intelligence</w:t>
      </w:r>
      <w:r>
        <w:rPr>
          <w:rFonts w:ascii="Times New Roman" w:cs="Times New Roman" w:eastAsia="Times New Roman" w:hAnsi="Times New Roman"/>
          <w:sz w:val="19"/>
          <w:szCs w:val="19"/>
        </w:rPr>
        <w:t xml:space="preserve"> (PMLR Vol. 161, pp. 844–853).</w:t>
      </w:r>
    </w:p>
    <w:p>
      <w:pPr>
        <w:spacing w:after="60" w:line="260"/>
        <w:ind w:left="440" w:hanging="440"/>
      </w:pPr>
      <w:r>
        <w:rPr>
          <w:rFonts w:ascii="Times New Roman" w:cs="Times New Roman" w:eastAsia="Times New Roman" w:hAnsi="Times New Roman"/>
          <w:sz w:val="19"/>
          <w:szCs w:val="19"/>
        </w:rPr>
        <w:t xml:space="preserve">Prinster, D., Han, X., Liu, A., &amp; Saria, S. (2025). WATCH: Adaptive monitoring for AI deployments via weighted-conformal martingales. In </w:t>
      </w:r>
      <w:r>
        <w:rPr>
          <w:rFonts w:ascii="Times New Roman" w:cs="Times New Roman" w:eastAsia="Times New Roman" w:hAnsi="Times New Roman"/>
          <w:i/>
          <w:iCs/>
          <w:sz w:val="19"/>
          <w:szCs w:val="19"/>
        </w:rPr>
        <w:t xml:space="preserve">Proceedings of the 42nd International Conference on Machine Learning</w:t>
      </w:r>
      <w:r>
        <w:rPr>
          <w:rFonts w:ascii="Times New Roman" w:cs="Times New Roman" w:eastAsia="Times New Roman" w:hAnsi="Times New Roman"/>
          <w:sz w:val="19"/>
          <w:szCs w:val="19"/>
        </w:rPr>
        <w:t xml:space="preserve"> (PMLR Vol. 267, pp. 49830–49859).</w:t>
      </w:r>
    </w:p>
    <w:p>
      <w:pPr>
        <w:spacing w:after="60" w:line="260"/>
        <w:ind w:left="440" w:hanging="440"/>
      </w:pPr>
      <w:r>
        <w:rPr>
          <w:rFonts w:ascii="Times New Roman" w:cs="Times New Roman" w:eastAsia="Times New Roman" w:hAnsi="Times New Roman"/>
          <w:sz w:val="19"/>
          <w:szCs w:val="19"/>
        </w:rPr>
        <w:t xml:space="preserve">Romano, Y., Patterson, E., &amp; Candès, E. J. (2019). Conformalized quantile regression. In </w:t>
      </w:r>
      <w:r>
        <w:rPr>
          <w:rFonts w:ascii="Times New Roman" w:cs="Times New Roman" w:eastAsia="Times New Roman" w:hAnsi="Times New Roman"/>
          <w:i/>
          <w:iCs/>
          <w:sz w:val="19"/>
          <w:szCs w:val="19"/>
        </w:rPr>
        <w:t xml:space="preserve">Advances in Neural Information Processing Systems</w:t>
      </w:r>
      <w:r>
        <w:rPr>
          <w:rFonts w:ascii="Times New Roman" w:cs="Times New Roman" w:eastAsia="Times New Roman" w:hAnsi="Times New Roman"/>
          <w:sz w:val="19"/>
          <w:szCs w:val="19"/>
        </w:rPr>
        <w:t xml:space="preserve"> (Vol. 32).</w:t>
      </w:r>
    </w:p>
    <w:p>
      <w:pPr>
        <w:spacing w:after="60" w:line="260"/>
        <w:ind w:left="440" w:hanging="440"/>
      </w:pPr>
      <w:r>
        <w:rPr>
          <w:rFonts w:ascii="Times New Roman" w:cs="Times New Roman" w:eastAsia="Times New Roman" w:hAnsi="Times New Roman"/>
          <w:sz w:val="19"/>
          <w:szCs w:val="19"/>
        </w:rPr>
        <w:t xml:space="preserve">Shafer, G., &amp; Vovk, V. (2008). A tutorial on conformal prediction. </w:t>
      </w:r>
      <w:r>
        <w:rPr>
          <w:rFonts w:ascii="Times New Roman" w:cs="Times New Roman" w:eastAsia="Times New Roman" w:hAnsi="Times New Roman"/>
          <w:i/>
          <w:iCs/>
          <w:sz w:val="19"/>
          <w:szCs w:val="19"/>
        </w:rPr>
        <w:t xml:space="preserve">Journal of Machine Learning Research, 9</w:t>
      </w:r>
      <w:r>
        <w:rPr>
          <w:rFonts w:ascii="Times New Roman" w:cs="Times New Roman" w:eastAsia="Times New Roman" w:hAnsi="Times New Roman"/>
          <w:sz w:val="19"/>
          <w:szCs w:val="19"/>
        </w:rPr>
        <w:t xml:space="preserve">, 371–421.</w:t>
      </w:r>
    </w:p>
    <w:p>
      <w:pPr>
        <w:spacing w:after="60" w:line="260"/>
        <w:ind w:left="440" w:hanging="440"/>
      </w:pPr>
      <w:r>
        <w:rPr>
          <w:rFonts w:ascii="Times New Roman" w:cs="Times New Roman" w:eastAsia="Times New Roman" w:hAnsi="Times New Roman"/>
          <w:sz w:val="19"/>
          <w:szCs w:val="19"/>
        </w:rPr>
        <w:t xml:space="preserve">Sun, S. H., &amp; Yu, R. (2025). Conformal prediction for time-series forecasting with change points. In </w:t>
      </w:r>
      <w:r>
        <w:rPr>
          <w:rFonts w:ascii="Times New Roman" w:cs="Times New Roman" w:eastAsia="Times New Roman" w:hAnsi="Times New Roman"/>
          <w:i/>
          <w:iCs/>
          <w:sz w:val="19"/>
          <w:szCs w:val="19"/>
        </w:rPr>
        <w:t xml:space="preserve">Advances in Neural Information Processing Systems</w:t>
      </w:r>
      <w:r>
        <w:rPr>
          <w:rFonts w:ascii="Times New Roman" w:cs="Times New Roman" w:eastAsia="Times New Roman" w:hAnsi="Times New Roman"/>
          <w:sz w:val="19"/>
          <w:szCs w:val="19"/>
        </w:rPr>
        <w:t xml:space="preserve"> (Vol. 38).</w:t>
      </w:r>
    </w:p>
    <w:p>
      <w:pPr>
        <w:spacing w:after="60" w:line="260"/>
        <w:ind w:left="440" w:hanging="440"/>
      </w:pPr>
      <w:r>
        <w:rPr>
          <w:rFonts w:ascii="Times New Roman" w:cs="Times New Roman" w:eastAsia="Times New Roman" w:hAnsi="Times New Roman"/>
          <w:sz w:val="19"/>
          <w:szCs w:val="19"/>
        </w:rPr>
        <w:t xml:space="preserve">Tibshirani, R. J., Barber, R. F., Candès, E. J., &amp; Ramdas, A. (2019). Conformal prediction under covariate shift. In </w:t>
      </w:r>
      <w:r>
        <w:rPr>
          <w:rFonts w:ascii="Times New Roman" w:cs="Times New Roman" w:eastAsia="Times New Roman" w:hAnsi="Times New Roman"/>
          <w:i/>
          <w:iCs/>
          <w:sz w:val="19"/>
          <w:szCs w:val="19"/>
        </w:rPr>
        <w:t xml:space="preserve">Advances in Neural Information Processing Systems</w:t>
      </w:r>
      <w:r>
        <w:rPr>
          <w:rFonts w:ascii="Times New Roman" w:cs="Times New Roman" w:eastAsia="Times New Roman" w:hAnsi="Times New Roman"/>
          <w:sz w:val="19"/>
          <w:szCs w:val="19"/>
        </w:rPr>
        <w:t xml:space="preserve"> (Vol. 32).</w:t>
      </w:r>
    </w:p>
    <w:p>
      <w:pPr>
        <w:spacing w:after="60" w:line="260"/>
        <w:ind w:left="440" w:hanging="440"/>
      </w:pPr>
      <w:r>
        <w:rPr>
          <w:rFonts w:ascii="Times New Roman" w:cs="Times New Roman" w:eastAsia="Times New Roman" w:hAnsi="Times New Roman"/>
          <w:sz w:val="19"/>
          <w:szCs w:val="19"/>
        </w:rPr>
        <w:t xml:space="preserve">Ville, J. (1939). </w:t>
      </w:r>
      <w:r>
        <w:rPr>
          <w:rFonts w:ascii="Times New Roman" w:cs="Times New Roman" w:eastAsia="Times New Roman" w:hAnsi="Times New Roman"/>
          <w:i/>
          <w:iCs/>
          <w:sz w:val="19"/>
          <w:szCs w:val="19"/>
        </w:rPr>
        <w:t xml:space="preserve">Étude critique de la notion de collectif</w:t>
      </w:r>
      <w:r>
        <w:rPr>
          <w:rFonts w:ascii="Times New Roman" w:cs="Times New Roman" w:eastAsia="Times New Roman" w:hAnsi="Times New Roman"/>
          <w:sz w:val="19"/>
          <w:szCs w:val="19"/>
        </w:rPr>
        <w:t xml:space="preserve">. Gauthier-Villars.</w:t>
      </w:r>
    </w:p>
    <w:p>
      <w:pPr>
        <w:spacing w:after="60" w:line="260"/>
        <w:ind w:left="440" w:hanging="440"/>
      </w:pPr>
      <w:r>
        <w:rPr>
          <w:rFonts w:ascii="Times New Roman" w:cs="Times New Roman" w:eastAsia="Times New Roman" w:hAnsi="Times New Roman"/>
          <w:sz w:val="19"/>
          <w:szCs w:val="19"/>
        </w:rPr>
        <w:t xml:space="preserve">Volkhonskiy, D., Burnaev, E., Nouretdinov, I., Gammerman, A., &amp; Vovk, V. (2017). Inductive conformal martingales for change-point detection. In </w:t>
      </w:r>
      <w:r>
        <w:rPr>
          <w:rFonts w:ascii="Times New Roman" w:cs="Times New Roman" w:eastAsia="Times New Roman" w:hAnsi="Times New Roman"/>
          <w:i/>
          <w:iCs/>
          <w:sz w:val="19"/>
          <w:szCs w:val="19"/>
        </w:rPr>
        <w:t xml:space="preserve">Proceedings of the 6th Symposium on Conformal and Probabilistic Prediction and Applications</w:t>
      </w:r>
      <w:r>
        <w:rPr>
          <w:rFonts w:ascii="Times New Roman" w:cs="Times New Roman" w:eastAsia="Times New Roman" w:hAnsi="Times New Roman"/>
          <w:sz w:val="19"/>
          <w:szCs w:val="19"/>
        </w:rPr>
        <w:t xml:space="preserve"> (PMLR Vol. 60, pp. 132–153).</w:t>
      </w:r>
    </w:p>
    <w:p>
      <w:pPr>
        <w:spacing w:after="60" w:line="260"/>
        <w:ind w:left="440" w:hanging="440"/>
      </w:pPr>
      <w:r>
        <w:rPr>
          <w:rFonts w:ascii="Times New Roman" w:cs="Times New Roman" w:eastAsia="Times New Roman" w:hAnsi="Times New Roman"/>
          <w:sz w:val="19"/>
          <w:szCs w:val="19"/>
        </w:rPr>
        <w:t xml:space="preserve">Vovk, V. (2013). Conditional validity of inductive conformal predictors. </w:t>
      </w:r>
      <w:r>
        <w:rPr>
          <w:rFonts w:ascii="Times New Roman" w:cs="Times New Roman" w:eastAsia="Times New Roman" w:hAnsi="Times New Roman"/>
          <w:i/>
          <w:iCs/>
          <w:sz w:val="19"/>
          <w:szCs w:val="19"/>
        </w:rPr>
        <w:t xml:space="preserve">Machine Learning, 92</w:t>
      </w:r>
      <w:r>
        <w:rPr>
          <w:rFonts w:ascii="Times New Roman" w:cs="Times New Roman" w:eastAsia="Times New Roman" w:hAnsi="Times New Roman"/>
          <w:sz w:val="19"/>
          <w:szCs w:val="19"/>
        </w:rPr>
        <w:t xml:space="preserve">(2–3), 349–376. https://doi.org/10.1007/s10994-013-5355-6</w:t>
      </w:r>
    </w:p>
    <w:p>
      <w:pPr>
        <w:spacing w:after="60" w:line="260"/>
        <w:ind w:left="440" w:hanging="440"/>
      </w:pPr>
      <w:r>
        <w:rPr>
          <w:rFonts w:ascii="Times New Roman" w:cs="Times New Roman" w:eastAsia="Times New Roman" w:hAnsi="Times New Roman"/>
          <w:sz w:val="19"/>
          <w:szCs w:val="19"/>
        </w:rPr>
        <w:t xml:space="preserve">Vovk, V. (2021). Testing randomness online. </w:t>
      </w:r>
      <w:r>
        <w:rPr>
          <w:rFonts w:ascii="Times New Roman" w:cs="Times New Roman" w:eastAsia="Times New Roman" w:hAnsi="Times New Roman"/>
          <w:i/>
          <w:iCs/>
          <w:sz w:val="19"/>
          <w:szCs w:val="19"/>
        </w:rPr>
        <w:t xml:space="preserve">Statistical Science, 36</w:t>
      </w:r>
      <w:r>
        <w:rPr>
          <w:rFonts w:ascii="Times New Roman" w:cs="Times New Roman" w:eastAsia="Times New Roman" w:hAnsi="Times New Roman"/>
          <w:sz w:val="19"/>
          <w:szCs w:val="19"/>
        </w:rPr>
        <w:t xml:space="preserve">(4), 595–611.</w:t>
      </w:r>
    </w:p>
    <w:p>
      <w:pPr>
        <w:spacing w:after="60" w:line="260"/>
        <w:ind w:left="440" w:hanging="440"/>
      </w:pPr>
      <w:r>
        <w:rPr>
          <w:rFonts w:ascii="Times New Roman" w:cs="Times New Roman" w:eastAsia="Times New Roman" w:hAnsi="Times New Roman"/>
          <w:sz w:val="19"/>
          <w:szCs w:val="19"/>
        </w:rPr>
        <w:t xml:space="preserve">Vovk, V., Gammerman, A., &amp; Shafer, G. (2005). </w:t>
      </w:r>
      <w:r>
        <w:rPr>
          <w:rFonts w:ascii="Times New Roman" w:cs="Times New Roman" w:eastAsia="Times New Roman" w:hAnsi="Times New Roman"/>
          <w:i/>
          <w:iCs/>
          <w:sz w:val="19"/>
          <w:szCs w:val="19"/>
        </w:rPr>
        <w:t xml:space="preserve">Algorithmic learning in a random world</w:t>
      </w:r>
      <w:r>
        <w:rPr>
          <w:rFonts w:ascii="Times New Roman" w:cs="Times New Roman" w:eastAsia="Times New Roman" w:hAnsi="Times New Roman"/>
          <w:sz w:val="19"/>
          <w:szCs w:val="19"/>
        </w:rPr>
        <w:t xml:space="preserve">. Springer. https://doi.org/10.1007/b106715</w:t>
      </w:r>
    </w:p>
    <w:p>
      <w:pPr>
        <w:spacing w:after="60" w:line="260"/>
        <w:ind w:left="440" w:hanging="440"/>
      </w:pPr>
      <w:r>
        <w:rPr>
          <w:rFonts w:ascii="Times New Roman" w:cs="Times New Roman" w:eastAsia="Times New Roman" w:hAnsi="Times New Roman"/>
          <w:sz w:val="19"/>
          <w:szCs w:val="19"/>
        </w:rPr>
        <w:t xml:space="preserve">Vovk, V., Petej, I., Nouretdinov, I., Ahlberg, E., Carlsson, L., &amp; Gammerman, A. (2021). Retrain or not retrain: Conformal test martingales for change-point detection. In </w:t>
      </w:r>
      <w:r>
        <w:rPr>
          <w:rFonts w:ascii="Times New Roman" w:cs="Times New Roman" w:eastAsia="Times New Roman" w:hAnsi="Times New Roman"/>
          <w:i/>
          <w:iCs/>
          <w:sz w:val="19"/>
          <w:szCs w:val="19"/>
        </w:rPr>
        <w:t xml:space="preserve">Proceedings of the 10th Symposium on Conformal and Probabilistic Prediction and Applications</w:t>
      </w:r>
      <w:r>
        <w:rPr>
          <w:rFonts w:ascii="Times New Roman" w:cs="Times New Roman" w:eastAsia="Times New Roman" w:hAnsi="Times New Roman"/>
          <w:sz w:val="19"/>
          <w:szCs w:val="19"/>
        </w:rPr>
        <w:t xml:space="preserve"> (PMLR Vol. 152, pp. 191–210).</w:t>
      </w:r>
    </w:p>
    <w:p>
      <w:pPr>
        <w:spacing w:after="60" w:line="260"/>
        <w:ind w:left="440" w:hanging="440"/>
      </w:pPr>
      <w:r>
        <w:rPr>
          <w:rFonts w:ascii="Times New Roman" w:cs="Times New Roman" w:eastAsia="Times New Roman" w:hAnsi="Times New Roman"/>
          <w:sz w:val="19"/>
          <w:szCs w:val="19"/>
        </w:rPr>
        <w:t xml:space="preserve">Xu, C., &amp; Xie, Y. (2021). Conformal prediction interval for dynamic time-series. In </w:t>
      </w:r>
      <w:r>
        <w:rPr>
          <w:rFonts w:ascii="Times New Roman" w:cs="Times New Roman" w:eastAsia="Times New Roman" w:hAnsi="Times New Roman"/>
          <w:i/>
          <w:iCs/>
          <w:sz w:val="19"/>
          <w:szCs w:val="19"/>
        </w:rPr>
        <w:t xml:space="preserve">Proceedings of the 38th International Conference on Machine Learning</w:t>
      </w:r>
      <w:r>
        <w:rPr>
          <w:rFonts w:ascii="Times New Roman" w:cs="Times New Roman" w:eastAsia="Times New Roman" w:hAnsi="Times New Roman"/>
          <w:sz w:val="19"/>
          <w:szCs w:val="19"/>
        </w:rPr>
        <w:t xml:space="preserve"> (PMLR Vol. 139, pp. 11559–11569).</w:t>
      </w:r>
    </w:p>
    <w:p>
      <w:pPr>
        <w:spacing w:after="60" w:line="260"/>
        <w:ind w:left="440" w:hanging="440"/>
      </w:pPr>
      <w:r>
        <w:rPr>
          <w:rFonts w:ascii="Times New Roman" w:cs="Times New Roman" w:eastAsia="Times New Roman" w:hAnsi="Times New Roman"/>
          <w:sz w:val="19"/>
          <w:szCs w:val="19"/>
        </w:rPr>
        <w:t xml:space="preserve">Xu, C., &amp; Xie, Y. (2023). Sequential predictive conformal inference for time series. In </w:t>
      </w:r>
      <w:r>
        <w:rPr>
          <w:rFonts w:ascii="Times New Roman" w:cs="Times New Roman" w:eastAsia="Times New Roman" w:hAnsi="Times New Roman"/>
          <w:i/>
          <w:iCs/>
          <w:sz w:val="19"/>
          <w:szCs w:val="19"/>
        </w:rPr>
        <w:t xml:space="preserve">Proceedings of the 40th International Conference on Machine Learning</w:t>
      </w:r>
      <w:r>
        <w:rPr>
          <w:rFonts w:ascii="Times New Roman" w:cs="Times New Roman" w:eastAsia="Times New Roman" w:hAnsi="Times New Roman"/>
          <w:sz w:val="19"/>
          <w:szCs w:val="19"/>
        </w:rPr>
        <w:t xml:space="preserve"> (PMLR Vol. 202, pp. 38707–38727).</w:t>
      </w:r>
    </w:p>
    <w:p>
      <w:pPr>
        <w:spacing w:after="60" w:line="260"/>
        <w:ind w:left="440" w:hanging="440"/>
      </w:pPr>
      <w:r>
        <w:rPr>
          <w:rFonts w:ascii="Times New Roman" w:cs="Times New Roman" w:eastAsia="Times New Roman" w:hAnsi="Times New Roman"/>
          <w:sz w:val="19"/>
          <w:szCs w:val="19"/>
        </w:rPr>
        <w:t xml:space="preserve">Zaffran, M., Féron, O., Goude, Y., Josse, J., &amp; Dieuleveut, A. (2022). Adaptive conformal predictions for time series. In </w:t>
      </w:r>
      <w:r>
        <w:rPr>
          <w:rFonts w:ascii="Times New Roman" w:cs="Times New Roman" w:eastAsia="Times New Roman" w:hAnsi="Times New Roman"/>
          <w:i/>
          <w:iCs/>
          <w:sz w:val="19"/>
          <w:szCs w:val="19"/>
        </w:rPr>
        <w:t xml:space="preserve">Proceedings of the 39th International Conference on Machine Learning</w:t>
      </w:r>
      <w:r>
        <w:rPr>
          <w:rFonts w:ascii="Times New Roman" w:cs="Times New Roman" w:eastAsia="Times New Roman" w:hAnsi="Times New Roman"/>
          <w:sz w:val="19"/>
          <w:szCs w:val="19"/>
        </w:rPr>
        <w:t xml:space="preserve"> (PMLR Vol. 162, pp. 25834–25866).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sz w:val="25"/>
      <w:szCs w:val="25"/>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6375e61289f571d12de1aa31d22ec56a25a99a.png"/><Relationship Id="rId9" Type="http://schemas.openxmlformats.org/officeDocument/2006/relationships/image" Target="media/a4e9c83013412a3ccc64857368d9912860e72466.png"/><Relationship Id="rId10" Type="http://schemas.openxmlformats.org/officeDocument/2006/relationships/image" Target="media/9084c6e788838efd87542f6158ae1dab964a624c.png"/><Relationship Id="rId11" Type="http://schemas.openxmlformats.org/officeDocument/2006/relationships/image" Target="media/3229ae6d2f47ad15b11dc34a3b28379df93e6504.png"/><Relationship Id="rId12" Type="http://schemas.openxmlformats.org/officeDocument/2006/relationships/image" Target="media/51c118d85cd527469ba1855823ff7aa377024929.png"/><Relationship Id="rId13" Type="http://schemas.openxmlformats.org/officeDocument/2006/relationships/image" Target="media/6bed0d52aad72a3400f30a4a2443ed96bc72c4c4.png"/><Relationship Id="rId14" Type="http://schemas.openxmlformats.org/officeDocument/2006/relationships/image" Target="media/82f4b41b758dee416e559ad192b630a46dc551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 Switching Online Conformal Prediction with Test Martingales</dc:title>
  <dc:creator>G. Arul Dalton</dc:creator>
  <cp:lastModifiedBy>Un-named</cp:lastModifiedBy>
  <cp:revision>1</cp:revision>
  <dcterms:created xsi:type="dcterms:W3CDTF">2026-10-22T23:28:00.029Z</dcterms:created>
  <dcterms:modified xsi:type="dcterms:W3CDTF">2026-10-22T23:28:00.029Z</dcterms:modified>
</cp:coreProperties>
</file>

<file path=docProps/custom.xml><?xml version="1.0" encoding="utf-8"?>
<Properties xmlns="http://schemas.openxmlformats.org/officeDocument/2006/custom-properties" xmlns:vt="http://schemas.openxmlformats.org/officeDocument/2006/docPropsVTypes"/>
</file>