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MLJ Contribution Information Sheet</w:t>
      </w:r>
    </w:p>
    <w:p>
      <w:pPr>
        <w:spacing w:after="80"/>
        <w:jc w:val="center"/>
      </w:pPr>
      <w:r>
        <w:rPr>
          <w:rFonts w:ascii="Times New Roman" w:cs="Times New Roman" w:eastAsia="Times New Roman" w:hAnsi="Times New Roman"/>
          <w:i/>
          <w:iCs/>
          <w:sz w:val="21"/>
          <w:szCs w:val="21"/>
        </w:rPr>
        <w:t xml:space="preserve">Regime Switching Online Conformal Prediction with Test Martingales</w:t>
      </w:r>
    </w:p>
    <w:p>
      <w:pPr>
        <w:spacing w:after="220"/>
        <w:jc w:val="center"/>
      </w:pPr>
      <w:r>
        <w:rPr>
          <w:rFonts w:ascii="Times New Roman" w:cs="Times New Roman" w:eastAsia="Times New Roman" w:hAnsi="Times New Roman"/>
          <w:sz w:val="21"/>
          <w:szCs w:val="21"/>
        </w:rPr>
        <w:t xml:space="preserve">G. Arul Dalton and P. Sankar</w:t>
      </w:r>
    </w:p>
    <w:p>
      <w:pPr>
        <w:pStyle w:val="Heading2"/>
        <w:spacing w:after="100" w:before="200"/>
      </w:pPr>
      <w:r>
        <w:rPr>
          <w:rFonts w:ascii="Times New Roman" w:cs="Times New Roman" w:eastAsia="Times New Roman" w:hAnsi="Times New Roman"/>
        </w:rPr>
        <w:t xml:space="preserve">1. What is the main claim of the paper? Why is this an important contribution to the machine learning literature?</w:t>
      </w:r>
    </w:p>
    <w:p>
      <w:pPr>
        <w:spacing w:after="120" w:line="300"/>
        <w:jc w:val="both"/>
      </w:pPr>
      <w:r>
        <w:rPr>
          <w:rFonts w:ascii="Times New Roman" w:cs="Times New Roman" w:eastAsia="Times New Roman" w:hAnsi="Times New Roman"/>
        </w:rPr>
        <w:t xml:space="preserve">The paper claims that online conformal prediction benefits from deciding </w:t>
      </w:r>
      <w:r>
        <w:rPr>
          <w:rFonts w:ascii="Times New Roman" w:cs="Times New Roman" w:eastAsia="Times New Roman" w:hAnsi="Times New Roman"/>
          <w:i/>
          <w:iCs/>
        </w:rPr>
        <w:t xml:space="preserve">when</w:t>
      </w:r>
      <w:r>
        <w:rPr>
          <w:rFonts w:ascii="Times New Roman" w:cs="Times New Roman" w:eastAsia="Times New Roman" w:hAnsi="Times New Roman"/>
        </w:rPr>
        <w:t xml:space="preserve"> its calibration history has become obsolete, using statistically controlled change detection, rather than only adapting </w:t>
      </w:r>
      <w:r>
        <w:rPr>
          <w:rFonts w:ascii="Times New Roman" w:cs="Times New Roman" w:eastAsia="Times New Roman" w:hAnsi="Times New Roman"/>
          <w:i/>
          <w:iCs/>
        </w:rPr>
        <w:t xml:space="preserve">how much</w:t>
      </w:r>
      <w:r>
        <w:rPr>
          <w:rFonts w:ascii="Times New Roman" w:cs="Times New Roman" w:eastAsia="Times New Roman" w:hAnsi="Times New Roman"/>
        </w:rPr>
        <w:t xml:space="preserve"> to adjust after each observation. We propose MARS-CP, a plug-in wrapper (Algorithms 1–3) that monitors regime-conditional conformal p-values with a two-sided conformal test martingale and, on an alarm, localises the change, rebuilds the calibration buffer and re-initialises the inner updater (ACI, quantile tracking or DtACI). This matters because deployed forecasters face abrupt regime changes, such as machine operating modes and market regimes, after which existing online methods either under-cover for long periods or keep intervals inflated after the stream becomes easier. MARS-CP addresses both directions while provably reducing to the wrapped method on exchangeable data, so practitioners can adopt it without giving up existing guarantees.</w:t>
      </w:r>
    </w:p>
    <w:p>
      <w:pPr>
        <w:pStyle w:val="Heading2"/>
        <w:spacing w:after="100" w:before="200"/>
      </w:pPr>
      <w:r>
        <w:rPr>
          <w:rFonts w:ascii="Times New Roman" w:cs="Times New Roman" w:eastAsia="Times New Roman" w:hAnsi="Times New Roman"/>
        </w:rPr>
        <w:t xml:space="preserve">2. What is the evidence you provide to support your claim?</w:t>
      </w:r>
    </w:p>
    <w:p>
      <w:pPr>
        <w:spacing w:after="120" w:line="300"/>
        <w:jc w:val="both"/>
      </w:pPr>
      <w:r>
        <w:rPr>
          <w:rFonts w:ascii="Times New Roman" w:cs="Times New Roman" w:eastAsia="Times New Roman" w:hAnsi="Times New Roman"/>
          <w:b/>
          <w:bCs/>
        </w:rPr>
        <w:t xml:space="preserve">Theory.</w:t>
      </w:r>
      <w:r>
        <w:rPr>
          <w:rFonts w:ascii="Times New Roman" w:cs="Times New Roman" w:eastAsia="Times New Roman" w:hAnsi="Times New Roman"/>
        </w:rPr>
        <w:t xml:space="preserve"> (i) Anytime false-alarm control: on an exchangeable stream, the probability of any alarm is at most δ (Proposition 1). (ii) On exchangeable data MARS-CP coincides with its inner updater with probability at least 1 − δ (Corollary 1). (iii) For the ACI inner updater, long-run miscoverage deviates from α by at most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+1)(1+(1+n</w:t>
      </w:r>
      <w:r>
        <w:rPr>
          <w:rFonts w:ascii="Times New Roman" w:cs="Times New Roman" w:eastAsia="Times New Roman" w:hAnsi="Times New Roman"/>
          <w:vertAlign w:val="subscript"/>
        </w:rPr>
        <w:t xml:space="preserve">min</w:t>
      </w:r>
      <w:r>
        <w:rPr>
          <w:rFonts w:ascii="Times New Roman" w:cs="Times New Roman" w:eastAsia="Times New Roman" w:hAnsi="Times New Roman"/>
        </w:rPr>
        <w:t xml:space="preserve">)γ)/(γT), where K</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the number of re-initialisations (Proposition 2).</w:t>
      </w:r>
    </w:p>
    <w:p>
      <w:pPr>
        <w:spacing w:after="120" w:line="300"/>
        <w:jc w:val="both"/>
      </w:pPr>
      <w:r>
        <w:rPr>
          <w:rFonts w:ascii="Times New Roman" w:cs="Times New Roman" w:eastAsia="Times New Roman" w:hAnsi="Times New Roman"/>
          <w:b/>
          <w:bCs/>
        </w:rPr>
        <w:t xml:space="preserve">Experiments.</w:t>
      </w:r>
      <w:r>
        <w:rPr>
          <w:rFonts w:ascii="Times New Roman" w:cs="Times New Roman" w:eastAsia="Times New Roman" w:hAnsi="Times New Roman"/>
        </w:rPr>
        <w:t xml:space="preserve"> Four synthetic scenarios (20 test seeds each; hyperparameters tuned only on disjoint validation seeds) and four public real streams (ELEC2, UCI household power, Melbourne temperature, NAB machine temperature; about 96,700 evaluation steps), against split CP, rolling CP, ACI, quantile tracking and DtACI. Wrapping ACI reduces local coverage error by 29% and under-coverage time by 57% on recurring abrupt shifts (paired Wilcoxon p &lt; 0.001), and reduces interval width by 22.5% on the machine-temperature stream at matched coverage. Wrapping DtACI significantly reduces width and under-coverage time on abrupt shifts. No false alarms occur on stationary streams. Ablations show that the two-sided martingale is the key component. We also report negative results: under gradual drift local coverage error rises by 4–12%, and the optional regime-memory module is neutral.</w:t>
      </w:r>
    </w:p>
    <w:p>
      <w:pPr>
        <w:pStyle w:val="Heading2"/>
        <w:spacing w:after="100" w:before="200"/>
      </w:pPr>
      <w:r>
        <w:rPr>
          <w:rFonts w:ascii="Times New Roman" w:cs="Times New Roman" w:eastAsia="Times New Roman" w:hAnsi="Times New Roman"/>
        </w:rPr>
        <w:t xml:space="preserve">3. What papers by other authors make the most closely related contributions, and how is your paper related to them?</w:t>
      </w:r>
    </w:p>
    <w:p>
      <w:pPr>
        <w:spacing w:after="120" w:line="300"/>
        <w:jc w:val="both"/>
      </w:pPr>
      <w:r>
        <w:rPr>
          <w:rFonts w:ascii="Times New Roman" w:cs="Times New Roman" w:eastAsia="Times New Roman" w:hAnsi="Times New Roman"/>
          <w:b/>
          <w:bCs/>
        </w:rPr>
        <w:t xml:space="preserve">Online adaptive CP:</w:t>
      </w:r>
      <w:r>
        <w:rPr>
          <w:rFonts w:ascii="Times New Roman" w:cs="Times New Roman" w:eastAsia="Times New Roman" w:hAnsi="Times New Roman"/>
        </w:rPr>
        <w:t xml:space="preserve"> Gibbs &amp; Candès (2021, 2024) (ACI, DtACI), Zaffran et al. (2022) (AgACI), Bhatnagar et al. (2023) (SAOCP) and Angelopoulos et al. (2023) (conformal PID). These adapt implicitly, one step at a time; MARS-CP wraps them and adds explicit, evidence-based regime resets. </w:t>
      </w:r>
      <w:r>
        <w:rPr>
          <w:rFonts w:ascii="Times New Roman" w:cs="Times New Roman" w:eastAsia="Times New Roman" w:hAnsi="Times New Roman"/>
          <w:b/>
          <w:bCs/>
        </w:rPr>
        <w:t xml:space="preserve">Faster adaptation:</w:t>
      </w:r>
      <w:r>
        <w:rPr>
          <w:rFonts w:ascii="Times New Roman" w:cs="Times New Roman" w:eastAsia="Times New Roman" w:hAnsi="Times New Roman"/>
        </w:rPr>
        <w:t xml:space="preserve"> Jun &amp; Ohn (2026) (RetroAdj) refits past predictions and needs leave-one-out-updatable regressors; Sun &amp; Yu (2025) (CPTC) conditions on a switching state-space forecaster. MARS-CP keeps the predictor a black box. </w:t>
      </w:r>
      <w:r>
        <w:rPr>
          <w:rFonts w:ascii="Times New Roman" w:cs="Times New Roman" w:eastAsia="Times New Roman" w:hAnsi="Times New Roman"/>
          <w:b/>
          <w:bCs/>
        </w:rPr>
        <w:t xml:space="preserve">Monitoring:</w:t>
      </w:r>
      <w:r>
        <w:rPr>
          <w:rFonts w:ascii="Times New Roman" w:cs="Times New Roman" w:eastAsia="Times New Roman" w:hAnsi="Times New Roman"/>
        </w:rPr>
        <w:t xml:space="preserve"> Vovk et al. (2021) use conformal test martingales to decide when to retrain; Prinster et al. (2025) (WATCH) use weighted conformal martingales for monitoring; Leong (2026) couples an empirically calibrated KS detector with weighted CP for safety classifiers. We use an anytime-valid, two-sided martingale as the trigger inside an online interval-construction procedure and specify the response. Within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we build on the analysis of conditional validity by Vovk (2013) and the uncertainty taxonomy of Hüllermeier &amp; Waegeman (2021).</w:t>
      </w:r>
    </w:p>
    <w:p>
      <w:pPr>
        <w:pStyle w:val="Heading2"/>
        <w:spacing w:after="100" w:before="200"/>
      </w:pPr>
      <w:r>
        <w:rPr>
          <w:rFonts w:ascii="Times New Roman" w:cs="Times New Roman" w:eastAsia="Times New Roman" w:hAnsi="Times New Roman"/>
        </w:rPr>
        <w:t xml:space="preserve">4. Have you published parts of your paper before, for instance in a conference?</w:t>
      </w:r>
    </w:p>
    <w:p>
      <w:pPr>
        <w:spacing w:after="120" w:line="300"/>
        <w:jc w:val="both"/>
      </w:pPr>
      <w:r>
        <w:rPr>
          <w:rFonts w:ascii="Times New Roman" w:cs="Times New Roman" w:eastAsia="Times New Roman" w:hAnsi="Times New Roman"/>
        </w:rPr>
        <w:t xml:space="preserve">No. No part of this work has been published or submitted elsewhere.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2026-10-22T23:27:59.553Z</dcterms:created>
  <dcterms:modified xsi:type="dcterms:W3CDTF">2026-10-22T23:27:59.557Z</dcterms:modified>
</cp:coreProperties>
</file>

<file path=docProps/custom.xml><?xml version="1.0" encoding="utf-8"?>
<Properties xmlns="http://schemas.openxmlformats.org/officeDocument/2006/custom-properties" xmlns:vt="http://schemas.openxmlformats.org/officeDocument/2006/docPropsVTypes"/>
</file>