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573CE">
      <w:pPr>
        <w:jc w:val="center"/>
        <w:rPr>
          <w:rFonts w:hint="eastAsia" w:ascii="楷体_GB2312" w:eastAsia="楷体_GB2312"/>
          <w:sz w:val="44"/>
          <w:szCs w:val="44"/>
        </w:rPr>
      </w:pPr>
      <w:r>
        <w:rPr>
          <w:rFonts w:hint="eastAsia" w:ascii="楷体_GB2312" w:eastAsia="楷体_GB2312"/>
          <w:sz w:val="44"/>
          <w:szCs w:val="44"/>
        </w:rPr>
        <w:t>南昌航空大学项目报告</w:t>
      </w:r>
    </w:p>
    <w:p w14:paraId="16F54D9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二0    年   月    日</w:t>
      </w:r>
    </w:p>
    <w:p w14:paraId="37FB62DE">
      <w:pPr>
        <w:rPr>
          <w:rFonts w:hint="eastAsia"/>
          <w:szCs w:val="21"/>
        </w:rPr>
      </w:pPr>
    </w:p>
    <w:p w14:paraId="3EC14E69">
      <w:pPr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</w:rPr>
        <w:t>课程名称：</w:t>
      </w:r>
      <w:r>
        <w:rPr>
          <w:rFonts w:hint="eastAsia"/>
          <w:szCs w:val="21"/>
          <w:u w:val="single"/>
        </w:rPr>
        <w:t xml:space="preserve">  数据库</w:t>
      </w:r>
      <w:r>
        <w:rPr>
          <w:rFonts w:hint="eastAsia"/>
          <w:szCs w:val="21"/>
          <w:u w:val="single"/>
          <w:lang w:val="en-US" w:eastAsia="zh-CN"/>
        </w:rPr>
        <w:t>原理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</w:rPr>
        <w:t xml:space="preserve"> 名称：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  <w:u w:val="single"/>
          <w:lang w:val="en-US" w:eastAsia="zh-CN"/>
        </w:rPr>
        <w:t xml:space="preserve">       小区物业管理系统  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  <w:u w:val="single"/>
          <w:lang w:val="en-US" w:eastAsia="zh-CN"/>
        </w:rPr>
        <w:t xml:space="preserve">             </w:t>
      </w:r>
    </w:p>
    <w:p w14:paraId="01829D76">
      <w:pPr>
        <w:rPr>
          <w:rFonts w:hint="eastAsia"/>
          <w:szCs w:val="21"/>
        </w:rPr>
      </w:pPr>
      <w:r>
        <w:rPr>
          <w:rFonts w:hint="eastAsia"/>
          <w:szCs w:val="21"/>
        </w:rPr>
        <w:t>班级学号：</w:t>
      </w:r>
      <w:r>
        <w:rPr>
          <w:rFonts w:hint="eastAsia"/>
          <w:szCs w:val="21"/>
          <w:u w:val="single"/>
        </w:rPr>
        <w:t xml:space="preserve">              </w:t>
      </w:r>
      <w:r>
        <w:rPr>
          <w:rFonts w:hint="eastAsia"/>
          <w:szCs w:val="21"/>
          <w:u w:val="single"/>
          <w:lang w:val="en-US" w:eastAsia="zh-CN"/>
        </w:rPr>
        <w:t xml:space="preserve">  </w:t>
      </w:r>
      <w:r>
        <w:rPr>
          <w:rFonts w:hint="eastAsia"/>
          <w:szCs w:val="21"/>
        </w:rPr>
        <w:t>姓名：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 xml:space="preserve"> 同组人：</w:t>
      </w:r>
      <w:r>
        <w:rPr>
          <w:rFonts w:hint="eastAsia"/>
          <w:szCs w:val="21"/>
          <w:u w:val="single"/>
        </w:rPr>
        <w:t xml:space="preserve">                           </w:t>
      </w:r>
    </w:p>
    <w:p w14:paraId="0FC54DF1">
      <w:pPr>
        <w:rPr>
          <w:rFonts w:hint="eastAsia"/>
          <w:szCs w:val="21"/>
          <w:u w:val="single"/>
          <w:lang w:val="en-US" w:eastAsia="zh-CN"/>
        </w:rPr>
      </w:pPr>
      <w:r>
        <w:rPr>
          <w:rFonts w:hint="eastAsia"/>
          <w:szCs w:val="21"/>
        </w:rPr>
        <w:t>指导教师评定：</w:t>
      </w:r>
      <w:r>
        <w:rPr>
          <w:rFonts w:hint="eastAsia"/>
          <w:szCs w:val="21"/>
          <w:u w:val="single"/>
        </w:rPr>
        <w:t xml:space="preserve">                                    </w:t>
      </w:r>
      <w:r>
        <w:rPr>
          <w:rFonts w:hint="eastAsia"/>
          <w:szCs w:val="21"/>
        </w:rPr>
        <w:t xml:space="preserve">  签名：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  <w:u w:val="single"/>
          <w:lang w:val="en-US" w:eastAsia="zh-CN"/>
        </w:rPr>
        <w:t xml:space="preserve">              </w:t>
      </w:r>
    </w:p>
    <w:p w14:paraId="3F300475">
      <w:pPr>
        <w:rPr>
          <w:rFonts w:hint="eastAsia"/>
          <w:szCs w:val="21"/>
          <w:u w:val="single"/>
          <w:lang w:val="en-US" w:eastAsia="zh-CN"/>
        </w:rPr>
      </w:pPr>
    </w:p>
    <w:p w14:paraId="212A6D7A">
      <w:pPr>
        <w:rPr>
          <w:rFonts w:hint="eastAsia"/>
          <w:szCs w:val="21"/>
          <w:u w:val="none"/>
          <w:lang w:val="en-US" w:eastAsia="zh-CN"/>
        </w:rPr>
      </w:pPr>
      <w:r>
        <w:rPr>
          <w:rFonts w:hint="eastAsia"/>
          <w:szCs w:val="21"/>
          <w:u w:val="none"/>
          <w:lang w:val="en-US" w:eastAsia="zh-CN"/>
        </w:rPr>
        <w:t>成员分工</w:t>
      </w:r>
    </w:p>
    <w:p w14:paraId="2D90AC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需求分析</w:t>
      </w:r>
    </w:p>
    <w:p w14:paraId="30104CE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总体需求描述</w:t>
      </w:r>
    </w:p>
    <w:p w14:paraId="0C6E37F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项目背景：传统小区物业管理普遍存在信息流转不畅、费用计算繁琐易错、维修服务响应滞后、广告招商管理不规范、停车权限管控混乱、跨业务数据相互割裂等问题，导致人工成本高、管理效率低、服务质量难以保障。本项目旨在构建一套数字化、规范化、全流程线上化的小区物业管理系统，实现物业人员管理、住户服务、费用收缴、维修管理、停车管理、广告入驻、系统配置一体化管控，打通各业务数据联动，全面提升物业公司运营效率与小区住户服务体验。</w:t>
      </w:r>
    </w:p>
    <w:p w14:paraId="2515C81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目标用户：本系统主要面向以下四类用户群体：</w:t>
      </w:r>
    </w:p>
    <w:p w14:paraId="434FFA3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物业管理人员：系统核心运营者，负责基础数据维护、人员调度、费用核算、业务审核、系统配置与权限管理。</w:t>
      </w:r>
    </w:p>
    <w:p w14:paraId="4337A73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小区住户</w:t>
      </w: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：服务最终使用者，主要涉及维修申请、车位申请、费用查询、在线缴费、服务确认与评价。</w:t>
      </w:r>
    </w:p>
    <w:p w14:paraId="725A369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物业工作人员：一线任务执行者，包括维修、安保、保洁等岗位，负责接收工单、执行任务、反馈进度。</w:t>
      </w:r>
    </w:p>
    <w:p w14:paraId="6BD64DA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外部公司</w:t>
      </w: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：商业合作方，主要指申请在小区进行广告投放的企业主体，负责提交入驻申请、上传资质材料、跟踪投放进度。</w:t>
      </w:r>
    </w:p>
    <w:p w14:paraId="53DC5E6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需求概要：本系统旨在为上述用户解决以下核心问题并完成相应任务：</w:t>
      </w:r>
    </w:p>
    <w:p w14:paraId="755AD88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outlineLvl w:val="9"/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针对物业管理人员</w:t>
      </w:r>
    </w:p>
    <w:p w14:paraId="1ACF4A4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实现物业工作人员数字化档案管理，支持信息录入、更新与状态维护。</w:t>
      </w:r>
    </w:p>
    <w:p w14:paraId="6E9F054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灵活配置工作类别，并对工作人员进行固定排班与临时任务派发，优化人力资源配置。</w:t>
      </w:r>
    </w:p>
    <w:p w14:paraId="718459C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按预设规则自动核算物业费、车位费、水费，解决人工计算繁琐、易错问题。</w:t>
      </w:r>
    </w:p>
    <w:p w14:paraId="12AE595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实现维修申请审核、维修人员指派、进度全程监管。</w:t>
      </w:r>
    </w:p>
    <w:p w14:paraId="750E770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规范广告入驻申请审查、资质审核、投放管理，合理利用小区公共资源。</w:t>
      </w:r>
    </w:p>
    <w:p w14:paraId="74ABD87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统一管理用户账号、角色权限、操作日志、系统参数，保障系统安全稳定运行。</w:t>
      </w:r>
    </w:p>
    <w:p w14:paraId="3B7D217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针对小区住户</w:t>
      </w:r>
    </w:p>
    <w:p w14:paraId="32D50E3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支持维修申请在线提交、进度实时查看、服务结果确认与评价，保障服务透明化。</w:t>
      </w:r>
    </w:p>
    <w:p w14:paraId="5FDA3FA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支持车位申请提交、门禁开通状态查询，实现停车服务便捷化。</w:t>
      </w:r>
    </w:p>
    <w:p w14:paraId="731B986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支持费用账单在线查询、明细查看、在线缴费、历史记录归档，解决缴费不透明问题。</w:t>
      </w:r>
    </w:p>
    <w:p w14:paraId="2D287F1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实时接收申请驳回、账单推送、到期提醒等消息通知。</w:t>
      </w:r>
    </w:p>
    <w:p w14:paraId="743FBFF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针对物业工作人员</w:t>
      </w:r>
    </w:p>
    <w:p w14:paraId="33F9EE1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在线接收个人排班、维修工单、临时任务，明确工作内容、地点与时段。</w:t>
      </w:r>
    </w:p>
    <w:p w14:paraId="0DEE788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实时更新任务执行状态，完成后提交结果并上报，形成工作流程闭环。</w:t>
      </w:r>
    </w:p>
    <w:p w14:paraId="7F9EBC4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维修任务完成后提交结项信息，触发住户确认与费用核算流程。</w:t>
      </w:r>
    </w:p>
    <w:p w14:paraId="59D7CDA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针对外部公司</w:t>
      </w:r>
    </w:p>
    <w:p w14:paraId="109702D3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在线提交广告入驻申请、上传资质材料、填写投放信息。</w:t>
      </w:r>
    </w:p>
    <w:p w14:paraId="6A12FDA1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实时查看申请审核进度、广告布置进度、投放到期提醒。</w:t>
      </w:r>
    </w:p>
    <w:p w14:paraId="0971339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实现广告合作流程规范化、透明化对接。</w:t>
      </w:r>
    </w:p>
    <w:p w14:paraId="06F9DCC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u w:val="none"/>
          <w:lang w:val="en-US" w:eastAsia="zh-CN"/>
        </w:rPr>
        <w:t>总体业务流程图</w:t>
      </w:r>
    </w:p>
    <w:p w14:paraId="4C832C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outlineLvl w:val="9"/>
        <w:rPr>
          <w:rFonts w:hint="eastAsia" w:ascii="宋体" w:hAnsi="宋体" w:eastAsia="宋体"/>
          <w:b/>
          <w:bCs/>
          <w:sz w:val="32"/>
          <w:szCs w:val="32"/>
        </w:rPr>
      </w:pPr>
    </w:p>
    <w:p w14:paraId="3E13AA9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outlineLvl w:val="9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图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SEQ 图 \* ARABIC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</w:p>
    <w:p w14:paraId="3512AAC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u w:val="none"/>
          <w:lang w:val="en-US" w:eastAsia="zh-CN"/>
        </w:rPr>
        <w:t>功能模块及描述</w:t>
      </w:r>
    </w:p>
    <w:p w14:paraId="03D77AE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本系统的功能整体可划分为七个子模块，分别是</w:t>
      </w:r>
      <w:r>
        <w:rPr>
          <w:rFonts w:ascii="Times New Roman" w:hAnsi="Times New Roman" w:eastAsia="宋体" w:cs="Times New Roman"/>
          <w:b/>
          <w:sz w:val="21"/>
          <w:szCs w:val="21"/>
        </w:rPr>
        <w:t>人员管理模块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sz w:val="21"/>
          <w:szCs w:val="21"/>
        </w:rPr>
        <w:t>费用管理模块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sz w:val="21"/>
          <w:szCs w:val="21"/>
        </w:rPr>
        <w:t>维修管理模块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sz w:val="21"/>
          <w:szCs w:val="21"/>
        </w:rPr>
        <w:t>广告管理模块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sz w:val="21"/>
          <w:szCs w:val="21"/>
        </w:rPr>
        <w:t>住户服务模块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sz w:val="21"/>
          <w:szCs w:val="21"/>
        </w:rPr>
        <w:t>工作任务模块</w:t>
      </w:r>
      <w:r>
        <w:rPr>
          <w:rFonts w:ascii="Times New Roman" w:hAnsi="Times New Roman" w:eastAsia="宋体" w:cs="Times New Roman"/>
          <w:sz w:val="21"/>
          <w:szCs w:val="21"/>
        </w:rPr>
        <w:t>以及</w:t>
      </w:r>
      <w:r>
        <w:rPr>
          <w:rFonts w:ascii="Times New Roman" w:hAnsi="Times New Roman" w:eastAsia="宋体" w:cs="Times New Roman"/>
          <w:b/>
          <w:sz w:val="21"/>
          <w:szCs w:val="21"/>
        </w:rPr>
        <w:t>系统管理模块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4C6DC2A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人员管理模块</w:t>
      </w:r>
    </w:p>
    <w:p w14:paraId="2D6B8BC6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物业工作人员档案管理：信息录入、修改、查询、状态管理。</w:t>
      </w:r>
    </w:p>
    <w:p w14:paraId="0FDBD47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工作类别设定管理：配置维修、安保、保洁、管理等岗位类型。</w:t>
      </w:r>
    </w:p>
    <w:p w14:paraId="7DF523DD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工作地点与时段排班管理：固定排班设置、生效周期管理。</w:t>
      </w:r>
    </w:p>
    <w:p w14:paraId="557AD6A9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临时任务派发与跟踪：向指定员工派发任务，监控执行状态。</w:t>
      </w:r>
    </w:p>
    <w:p w14:paraId="02C2A839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费用管理模块</w:t>
      </w:r>
    </w:p>
    <w:p w14:paraId="6227F0C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物业费计算管理：按房屋面积自动核算应收物业费。</w:t>
      </w:r>
    </w:p>
    <w:p w14:paraId="770E5AB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车位费计算管理：按车位使用情况自动核算车位费。</w:t>
      </w:r>
    </w:p>
    <w:p w14:paraId="3B2E27C1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水费计算管理：按楼层、水表读数自动核算水费，支持阶梯价与二次供水。</w:t>
      </w:r>
    </w:p>
    <w:p w14:paraId="1F0186D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计费规则管理：统一配置各类费用计算标准。</w:t>
      </w:r>
    </w:p>
    <w:p w14:paraId="3860C4C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费用账单生成与查询：自动生成账单，支持住户与管理员查询。</w:t>
      </w:r>
    </w:p>
    <w:p w14:paraId="1FE441B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费用收缴情况统计：缴</w:t>
      </w:r>
      <w:bookmarkStart w:id="0" w:name="_GoBack"/>
      <w:bookmarkEnd w:id="0"/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费状态统计、历史数据归档、票据管理。</w:t>
      </w:r>
    </w:p>
    <w:p w14:paraId="6C31A36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outlineLvl w:val="9"/>
        <w:rPr>
          <w:rFonts w:hint="default" w:cs="Times New Roman"/>
          <w:sz w:val="21"/>
          <w:szCs w:val="21"/>
          <w:lang w:val="en-US" w:eastAsia="zh-CN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有偿维修费用自动归集：维修结项后自动核算服务费并生成账单。</w:t>
      </w:r>
    </w:p>
    <w:p w14:paraId="10FA9FFD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维修管理模块</w:t>
      </w:r>
    </w:p>
    <w:p w14:paraId="50AB7F5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288" w:lineRule="atLeast"/>
        <w:ind w:left="0" w:leftChars="0" w:right="0"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维修申请受理与审核：住户提交申请，管理员审核。</w:t>
      </w:r>
    </w:p>
    <w:p w14:paraId="2CA455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288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维修人员指派与任务派单：匹配对应工种员工并生成维修工单。</w:t>
      </w:r>
    </w:p>
    <w:p w14:paraId="63F96E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288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维修进度跟踪与状态更新：全程监控处理进度。</w:t>
      </w:r>
    </w:p>
    <w:p w14:paraId="2986C9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288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维修结果确认与服务评价：住户确认完成并提交评价。</w:t>
      </w:r>
    </w:p>
    <w:p w14:paraId="0ABAE12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288" w:lineRule="atLeast"/>
        <w:ind w:left="0" w:leftChars="0" w:right="0" w:rightChars="0" w:firstLine="420" w:firstLineChars="200"/>
        <w:jc w:val="left"/>
        <w:rPr>
          <w:rFonts w:hint="default" w:cs="Times New Roman"/>
          <w:sz w:val="21"/>
          <w:szCs w:val="21"/>
          <w:lang w:val="en-US" w:eastAsia="zh-CN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维修记录归档：所有维修信息永久保存，支持追溯。</w:t>
      </w:r>
    </w:p>
    <w:p w14:paraId="43AE0C52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广告管理模块</w:t>
      </w:r>
    </w:p>
    <w:p w14:paraId="6A0BCA7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288" w:lineRule="atLeast"/>
        <w:ind w:left="0" w:leftChars="0" w:right="0"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广告入驻申请受理：外部公司在线提交申请与资质材料。</w:t>
      </w:r>
    </w:p>
    <w:p w14:paraId="68C34F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288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广告资质审查与入驻审批：管理员审核资质与投放内容。</w:t>
      </w:r>
    </w:p>
    <w:p w14:paraId="3C9BA6A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288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广告位置资源管理：维护小区广告位信息、使用状态。</w:t>
      </w:r>
    </w:p>
    <w:p w14:paraId="77B220D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288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广告投放进度跟踪：布置、上线、到期全程管理。</w:t>
      </w:r>
    </w:p>
    <w:p w14:paraId="7B57774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288" w:lineRule="atLeast"/>
        <w:ind w:left="0" w:leftChars="0" w:right="0" w:rightChars="0" w:firstLine="420" w:firstLineChars="200"/>
        <w:jc w:val="left"/>
        <w:rPr>
          <w:rFonts w:hint="default" w:cs="Times New Roman"/>
          <w:sz w:val="21"/>
          <w:szCs w:val="21"/>
          <w:lang w:val="en-US" w:eastAsia="zh-CN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审批记录留存：所有审核操作留痕，便于审计。</w:t>
      </w:r>
    </w:p>
    <w:p w14:paraId="35DE9BBE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住户服务模块</w:t>
      </w:r>
    </w:p>
    <w:p w14:paraId="018D95F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288" w:lineRule="atLeast"/>
        <w:ind w:left="0" w:leftChars="0" w:right="0"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维修申请提交与进度查看：在线报修，实时跟踪处理状态。</w:t>
      </w:r>
    </w:p>
    <w:p w14:paraId="0456989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288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车位申请提交与门禁状态查询：申请车位，查看权限开通情况。</w:t>
      </w:r>
    </w:p>
    <w:p w14:paraId="60A9BF2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288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费用账单查询与在线缴费：查看明细，完成支付。</w:t>
      </w:r>
    </w:p>
    <w:p w14:paraId="2417B2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288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水电使用记录查询：查看每月消耗数据。</w:t>
      </w:r>
    </w:p>
    <w:p w14:paraId="4CD4D5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288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u w:val="none"/>
          <w:lang w:val="en-US" w:eastAsia="zh-CN" w:bidi="ar-SA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服务结果确认与评价提交：对维修服务进行确认与评分。</w:t>
      </w:r>
    </w:p>
    <w:p w14:paraId="7F9DAB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288" w:lineRule="atLeast"/>
        <w:ind w:left="0" w:leftChars="0" w:right="0" w:rightChars="0" w:firstLine="420" w:firstLineChars="200"/>
        <w:jc w:val="left"/>
        <w:rPr>
          <w:rFonts w:hint="default" w:cs="Times New Roman"/>
          <w:sz w:val="21"/>
          <w:szCs w:val="21"/>
          <w:lang w:val="en-US" w:eastAsia="zh-CN"/>
        </w:rPr>
      </w:pPr>
      <w:r>
        <w:rPr>
          <w:b w:val="0"/>
          <w:bCs w:val="0"/>
          <w:kern w:val="2"/>
          <w:sz w:val="21"/>
          <w:szCs w:val="21"/>
          <w:u w:val="none"/>
          <w:lang w:val="en-US" w:eastAsia="zh-CN" w:bidi="ar-SA"/>
        </w:rPr>
        <w:t>消息通知接收：查看驳回原因、账单提醒、到期通知。</w:t>
      </w:r>
    </w:p>
    <w:p w14:paraId="58E15E0C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工作任务模块</w:t>
      </w:r>
    </w:p>
    <w:p w14:paraId="793383E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20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工作任务工单接收与查看：维修、排班、临时任务统一展示。</w:t>
      </w:r>
    </w:p>
    <w:p w14:paraId="1F24C60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20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工作任务执行状态更新：待接收、执行中、已完成状态同步。</w:t>
      </w:r>
    </w:p>
    <w:p w14:paraId="627DCF7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20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工作任务完成上报：提交执行结果与说明。</w:t>
      </w:r>
    </w:p>
    <w:p w14:paraId="448F6A1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20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执行记录归档：形成完整工作执行档案。</w:t>
      </w:r>
    </w:p>
    <w:p w14:paraId="115F68E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200"/>
        <w:jc w:val="left"/>
        <w:rPr>
          <w:rFonts w:hint="default" w:cs="Times New Roman"/>
          <w:sz w:val="21"/>
          <w:szCs w:val="21"/>
          <w:lang w:val="en-US" w:eastAsia="zh-CN"/>
        </w:rPr>
      </w:pPr>
      <w:r>
        <w:rPr>
          <w:color w:val="000000"/>
          <w:sz w:val="21"/>
          <w:szCs w:val="21"/>
          <w:bdr w:val="none" w:color="auto" w:sz="0" w:space="0"/>
        </w:rPr>
        <w:t>住户确认：任务完成后由住户验收确认。</w:t>
      </w:r>
    </w:p>
    <w:p w14:paraId="70A5679D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系统管理模块</w:t>
      </w:r>
    </w:p>
    <w:p w14:paraId="05CFDFC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20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用户账户信息管理：账号创建、信息维护、状态管理。</w:t>
      </w:r>
    </w:p>
    <w:p w14:paraId="5CF044A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20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权限角色管理：配置管理员、工作人员、住户、外部公司权限。</w:t>
      </w:r>
    </w:p>
    <w:p w14:paraId="20E9967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20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基础数据维护：房屋、车位、水表、广告位等基础信息管理。</w:t>
      </w:r>
    </w:p>
    <w:p w14:paraId="1BE649D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20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操作日志管理：记录所有用户核心操作，支持审计回溯。</w:t>
      </w:r>
    </w:p>
    <w:p w14:paraId="5257441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20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系统参数配置：驳回模板、计费参数、通知规则等全局配置。</w:t>
      </w:r>
    </w:p>
    <w:p w14:paraId="0AFE070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420" w:firstLineChars="200"/>
        <w:jc w:val="left"/>
        <w:rPr>
          <w:rFonts w:hint="eastAsia" w:eastAsia="宋体" w:cs="Times New Roman"/>
          <w:sz w:val="21"/>
          <w:szCs w:val="21"/>
          <w:lang w:val="en-US" w:eastAsia="zh-CN"/>
        </w:rPr>
      </w:pPr>
      <w:r>
        <w:rPr>
          <w:color w:val="000000"/>
          <w:sz w:val="21"/>
          <w:szCs w:val="21"/>
          <w:bdr w:val="none" w:color="auto" w:sz="0" w:space="0"/>
        </w:rPr>
        <w:t>数据统一管理：保障数据安全、一致性与可共享性。</w:t>
      </w:r>
    </w:p>
    <w:p w14:paraId="5B76D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具体的系统功能模块图如图</w:t>
      </w:r>
      <w:r>
        <w:rPr>
          <w:rFonts w:hint="eastAsia" w:ascii="宋体" w:hAnsi="宋体" w:cs="Times New Roman"/>
          <w:szCs w:val="21"/>
          <w:lang w:val="en-US" w:eastAsia="zh-CN"/>
        </w:rPr>
        <w:t>2</w:t>
      </w:r>
      <w:r>
        <w:rPr>
          <w:rFonts w:hint="eastAsia" w:ascii="宋体" w:hAnsi="宋体" w:eastAsia="宋体" w:cs="Times New Roman"/>
          <w:szCs w:val="21"/>
        </w:rPr>
        <w:t>所示。</w:t>
      </w:r>
    </w:p>
    <w:p w14:paraId="1EF0921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="0" w:leftChars="0" w:firstLine="0" w:firstLineChars="0"/>
        <w:jc w:val="center"/>
        <w:textAlignment w:val="auto"/>
        <w:rPr>
          <w:rFonts w:ascii="宋体" w:hAnsi="宋体" w:eastAsia="宋体"/>
        </w:rPr>
      </w:pPr>
    </w:p>
    <w:p w14:paraId="39983CD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图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SEQ 图 \* ARABIC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</w:p>
    <w:p w14:paraId="5FF47C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数据库概念结构设计</w:t>
      </w:r>
    </w:p>
    <w:p w14:paraId="34F866B6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分E-R图设计</w:t>
      </w:r>
    </w:p>
    <w:p w14:paraId="41A3C4B8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人员管理子系统（图3）</w:t>
      </w:r>
    </w:p>
    <w:p w14:paraId="094905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ascii="宋体" w:hAnsi="宋体" w:eastAsia="宋体" w:cs="宋体"/>
          <w:sz w:val="24"/>
          <w:szCs w:val="24"/>
        </w:rPr>
      </w:pPr>
    </w:p>
    <w:p w14:paraId="07A7E6D4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图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SEQ 图 \* ARABIC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</w:p>
    <w:p w14:paraId="7FD4CDB9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费用管理子系统（图4）</w:t>
      </w:r>
    </w:p>
    <w:p w14:paraId="279F8C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ascii="宋体" w:hAnsi="宋体" w:eastAsia="宋体" w:cs="宋体"/>
          <w:sz w:val="24"/>
          <w:szCs w:val="24"/>
        </w:rPr>
      </w:pPr>
    </w:p>
    <w:p w14:paraId="7A5ED480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图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SEQ 图 \* ARABIC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</w:p>
    <w:p w14:paraId="55EE99A4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维修管理子系统（图5）</w:t>
      </w:r>
    </w:p>
    <w:p w14:paraId="1870DC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</w:p>
    <w:p w14:paraId="49491C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ascii="宋体" w:hAnsi="宋体" w:eastAsia="宋体" w:cs="宋体"/>
          <w:sz w:val="24"/>
          <w:szCs w:val="24"/>
        </w:rPr>
      </w:pPr>
    </w:p>
    <w:p w14:paraId="6FF4FEB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图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SEQ 图 \* ARABIC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</w:p>
    <w:p w14:paraId="46B21537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广告管理子系统（图6）</w:t>
      </w:r>
    </w:p>
    <w:p w14:paraId="5E90A8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</w:p>
    <w:p w14:paraId="2658F26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图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SEQ 图 \* ARABIC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</w:p>
    <w:p w14:paraId="5C01212D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住户服务子系统（图7）</w:t>
      </w:r>
    </w:p>
    <w:p w14:paraId="7B1964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</w:p>
    <w:p w14:paraId="389F01E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图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SEQ 图 \* ARABIC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7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</w:p>
    <w:p w14:paraId="3919FC20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工作任务子系统（图8）</w:t>
      </w:r>
    </w:p>
    <w:p w14:paraId="744ECB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</w:p>
    <w:p w14:paraId="31E3EF1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图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SEQ 图 \* ARABIC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8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</w:p>
    <w:p w14:paraId="7D03BAF3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outlineLvl w:val="9"/>
        <w:rPr>
          <w:rFonts w:hint="default" w:ascii="宋体" w:hAnsi="宋体" w:cs="宋体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>系统管理子系统（图9）</w:t>
      </w:r>
    </w:p>
    <w:p w14:paraId="724568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ascii="宋体" w:hAnsi="宋体" w:eastAsia="宋体" w:cs="宋体"/>
          <w:sz w:val="24"/>
          <w:szCs w:val="24"/>
        </w:rPr>
      </w:pPr>
    </w:p>
    <w:p w14:paraId="11F62DB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图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SEQ 图 \* ARABIC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9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</w:p>
    <w:p w14:paraId="372AC05B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总E-R图设计</w:t>
      </w:r>
      <w:r>
        <w:rPr>
          <w:rFonts w:hint="eastAsia" w:ascii="宋体" w:hAnsi="宋体" w:cs="宋体"/>
          <w:b/>
          <w:bCs/>
          <w:sz w:val="24"/>
          <w:szCs w:val="24"/>
          <w:u w:val="none"/>
          <w:lang w:val="en-US" w:eastAsia="zh-CN"/>
        </w:rPr>
        <w:t>（图10）</w:t>
      </w:r>
    </w:p>
    <w:p w14:paraId="594917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</w:p>
    <w:p w14:paraId="457A441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图 </w:t>
      </w: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SEQ 图 \* ARABIC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10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</w:p>
    <w:p w14:paraId="7C8EC6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数据库逻辑结构设计</w:t>
      </w:r>
    </w:p>
    <w:p w14:paraId="0E43E7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表及视图的实现代码</w:t>
      </w:r>
    </w:p>
    <w:p w14:paraId="08D02E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存储过程和触发器的设计实现</w:t>
      </w:r>
    </w:p>
    <w:p w14:paraId="7FC3DB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前台系统连接数据库实现代码</w:t>
      </w:r>
    </w:p>
    <w:p w14:paraId="706FFC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项目总结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96BDB1"/>
    <w:multiLevelType w:val="singleLevel"/>
    <w:tmpl w:val="9396BDB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4EF6183"/>
    <w:multiLevelType w:val="singleLevel"/>
    <w:tmpl w:val="94EF618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BC13B8B7"/>
    <w:multiLevelType w:val="singleLevel"/>
    <w:tmpl w:val="BC13B8B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E81D302"/>
    <w:multiLevelType w:val="singleLevel"/>
    <w:tmpl w:val="BE81D30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D50C542D"/>
    <w:multiLevelType w:val="singleLevel"/>
    <w:tmpl w:val="D50C542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DD7F323E"/>
    <w:multiLevelType w:val="singleLevel"/>
    <w:tmpl w:val="DD7F323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E3A7EDB4"/>
    <w:multiLevelType w:val="singleLevel"/>
    <w:tmpl w:val="E3A7EDB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EACA7C2E"/>
    <w:multiLevelType w:val="singleLevel"/>
    <w:tmpl w:val="EACA7C2E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B769484"/>
    <w:multiLevelType w:val="singleLevel"/>
    <w:tmpl w:val="EB76948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F33743DD"/>
    <w:multiLevelType w:val="singleLevel"/>
    <w:tmpl w:val="F33743D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07670C52"/>
    <w:multiLevelType w:val="singleLevel"/>
    <w:tmpl w:val="07670C5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1">
    <w:nsid w:val="13178105"/>
    <w:multiLevelType w:val="singleLevel"/>
    <w:tmpl w:val="131781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1E11EE3C"/>
    <w:multiLevelType w:val="singleLevel"/>
    <w:tmpl w:val="1E11EE3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291ADB90"/>
    <w:multiLevelType w:val="singleLevel"/>
    <w:tmpl w:val="291ADB90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4">
    <w:nsid w:val="32E488E2"/>
    <w:multiLevelType w:val="singleLevel"/>
    <w:tmpl w:val="32E488E2"/>
    <w:lvl w:ilvl="0" w:tentative="0">
      <w:start w:val="1"/>
      <w:numFmt w:val="decimal"/>
      <w:suff w:val="space"/>
      <w:lvlText w:val="%1."/>
      <w:lvlJc w:val="left"/>
      <w:pPr/>
    </w:lvl>
  </w:abstractNum>
  <w:abstractNum w:abstractNumId="15">
    <w:nsid w:val="622C797E"/>
    <w:multiLevelType w:val="singleLevel"/>
    <w:tmpl w:val="622C797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6">
    <w:nsid w:val="6689A0F7"/>
    <w:multiLevelType w:val="singleLevel"/>
    <w:tmpl w:val="6689A0F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7">
    <w:nsid w:val="6AB30BF8"/>
    <w:multiLevelType w:val="singleLevel"/>
    <w:tmpl w:val="6AB30BF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78B04AC6"/>
    <w:multiLevelType w:val="singleLevel"/>
    <w:tmpl w:val="78B04AC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5"/>
  </w:num>
  <w:num w:numId="2">
    <w:abstractNumId w:val="13"/>
  </w:num>
  <w:num w:numId="3">
    <w:abstractNumId w:val="7"/>
  </w:num>
  <w:num w:numId="4">
    <w:abstractNumId w:val="18"/>
  </w:num>
  <w:num w:numId="5">
    <w:abstractNumId w:val="2"/>
  </w:num>
  <w:num w:numId="6">
    <w:abstractNumId w:val="5"/>
  </w:num>
  <w:num w:numId="7">
    <w:abstractNumId w:val="17"/>
  </w:num>
  <w:num w:numId="8">
    <w:abstractNumId w:val="3"/>
  </w:num>
  <w:num w:numId="9">
    <w:abstractNumId w:val="0"/>
  </w:num>
  <w:num w:numId="10">
    <w:abstractNumId w:val="14"/>
  </w:num>
  <w:num w:numId="11">
    <w:abstractNumId w:val="12"/>
  </w:num>
  <w:num w:numId="12">
    <w:abstractNumId w:val="16"/>
  </w:num>
  <w:num w:numId="13">
    <w:abstractNumId w:val="6"/>
  </w:num>
  <w:num w:numId="14">
    <w:abstractNumId w:val="9"/>
  </w:num>
  <w:num w:numId="15">
    <w:abstractNumId w:val="1"/>
  </w:num>
  <w:num w:numId="16">
    <w:abstractNumId w:val="8"/>
  </w:num>
  <w:num w:numId="17">
    <w:abstractNumId w:val="4"/>
  </w:num>
  <w:num w:numId="18">
    <w:abstractNumId w:val="1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1811B7"/>
    <w:rsid w:val="19F623F7"/>
    <w:rsid w:val="38D45924"/>
    <w:rsid w:val="3FF82E18"/>
    <w:rsid w:val="49C0249B"/>
    <w:rsid w:val="4D461334"/>
    <w:rsid w:val="5AE86973"/>
    <w:rsid w:val="65F8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Body Text"/>
    <w:semiHidden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1648</Words>
  <Characters>1662</Characters>
  <Lines>0</Lines>
  <Paragraphs>0</Paragraphs>
  <TotalTime>20</TotalTime>
  <ScaleCrop>false</ScaleCrop>
  <LinksUpToDate>false</LinksUpToDate>
  <CharactersWithSpaces>1850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2026-03-20T03:35:00Z</dcterms:created>
  <dc:creator>Administrator</dc:creator>
  <cp:lastModifiedBy>放肆的青春</cp:lastModifiedBy>
  <dcterms:modified xsi:type="dcterms:W3CDTF">2026-04-12T03:41:51Z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eyJoZGlkIjoiZGNhM2E1OGY0M2Q2ZGFjNDc3Y2I5OGJjZGNmNDg0NDIiLCJ1c2VySWQiOiIxMjM4Njg2MDQwIn0=</vt:lpwstr>
  </property>
  <property fmtid="{D5CDD505-2E9C-101B-9397-08002B2CF9AE}" pid="4" name="ICV">
    <vt:lpwstr>4DCA717D687544AE98FBCDF2B5DAEDD4_12</vt:lpwstr>
  </property>
</Properties>
</file>