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Arial" w:hAnsi="Arial"/>
          <w:b/>
          <w:color w:val="1F4E79"/>
          <w:sz w:val="36"/>
        </w:rPr>
        <w:t>Week 4 项目描述与生存分析参考手册：急性髓系白血病（AML）预后生物标志物筛选与临床风险评估</w:t>
      </w:r>
    </w:p>
    <w:p>
      <w:pPr>
        <w:spacing w:after="120" w:line="276" w:lineRule="auto"/>
      </w:pPr>
      <w:r>
        <w:t>本手册旨在详细记录 Week 4 的工作内容、各脚本的作用、清理后最终产出文件的具体含义，以及关键生存分析模型与临床转化医学背景的深度解析。它可以作为您本周分析的快速查询字典与项目交接/汇报底稿。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一、 本周工作总结：我干了什么？</w:t>
      </w:r>
    </w:p>
    <w:p>
      <w:pPr>
        <w:spacing w:after="120" w:line="276" w:lineRule="auto"/>
      </w:pPr>
      <w:r>
        <w:t xml:space="preserve">本周完成了 </w:t>
      </w:r>
      <w:r>
        <w:rPr>
          <w:b/>
        </w:rPr>
        <w:t>TCGA-LAML 队列患者生存数据的提取与对齐、针对 Week 3 筛选的 106 个安全生物标志物进行中位数表达量分组、基于 Kaplan-Meier 估计和 Log-rank 检验的生存差异分析，以及基于单变量 Cox 比例风险回归模型（Univariate Cox Regression）的预后危险标志物筛选</w:t>
      </w:r>
      <w:r>
        <w:t>。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生存数据清洗与样本对齐</w:t>
      </w:r>
      <w:r>
        <w:t>：</w:t>
      </w:r>
    </w:p>
    <w:p>
      <w:pPr>
        <w:pStyle w:val="ListBullet"/>
        <w:spacing w:after="60"/>
        <w:ind w:left="720"/>
      </w:pPr>
      <w:r>
        <w:t xml:space="preserve">编写并运行了 </w:t>
      </w:r>
      <w:r>
        <w:rPr>
          <w:rFonts w:ascii="Courier New" w:hAnsi="Courier New"/>
          <w:color w:val="505050"/>
          <w:sz w:val="19"/>
        </w:rPr>
        <w:t>scripts/07_survival_analysis.R</w:t>
      </w:r>
      <w:r>
        <w:t>。</w:t>
      </w:r>
    </w:p>
    <w:p>
      <w:pPr>
        <w:pStyle w:val="ListBullet"/>
        <w:spacing w:after="60"/>
        <w:ind w:left="720"/>
      </w:pPr>
      <w:r>
        <w:t>从临床数据（</w:t>
      </w:r>
      <w:r>
        <w:rPr>
          <w:rFonts w:ascii="Courier New" w:hAnsi="Courier New"/>
          <w:color w:val="505050"/>
          <w:sz w:val="19"/>
        </w:rPr>
        <w:t>tcga_clinical</w:t>
      </w:r>
      <w:r>
        <w:t>）中提取了患者的生存状态（</w:t>
      </w:r>
      <w:r>
        <w:rPr>
          <w:rFonts w:ascii="Courier New" w:hAnsi="Courier New"/>
          <w:color w:val="505050"/>
          <w:sz w:val="19"/>
        </w:rPr>
        <w:t>vital_status</w:t>
      </w:r>
      <w:r>
        <w:t>）、死亡天数（</w:t>
      </w:r>
      <w:r>
        <w:rPr>
          <w:rFonts w:ascii="Courier New" w:hAnsi="Courier New"/>
          <w:color w:val="505050"/>
          <w:sz w:val="19"/>
        </w:rPr>
        <w:t>days_to_death</w:t>
      </w:r>
      <w:r>
        <w:t>）及最后随访天数（</w:t>
      </w:r>
      <w:r>
        <w:rPr>
          <w:rFonts w:ascii="Courier New" w:hAnsi="Courier New"/>
          <w:color w:val="505050"/>
          <w:sz w:val="19"/>
        </w:rPr>
        <w:t>days_to_last_follow_up</w:t>
      </w:r>
      <w:r>
        <w:t>）。</w:t>
      </w:r>
    </w:p>
    <w:p>
      <w:pPr>
        <w:pStyle w:val="ListBullet"/>
        <w:spacing w:after="60"/>
        <w:ind w:left="720"/>
      </w:pPr>
      <w:r>
        <w:t xml:space="preserve">剔除了缺失生存时间或生存时间为零/负数的异常样本，成功对齐了 </w:t>
      </w:r>
      <w:r>
        <w:rPr>
          <w:b/>
        </w:rPr>
        <w:t>130 例</w:t>
      </w:r>
      <w:r>
        <w:t>具有完整且有效的生存跟踪与基因表达谱的 AML 患者样本。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中位数分组（Median-Based Grouping）</w:t>
      </w:r>
      <w:r>
        <w:t>：</w:t>
      </w:r>
    </w:p>
    <w:p>
      <w:pPr>
        <w:pStyle w:val="ListBullet"/>
        <w:spacing w:after="60"/>
        <w:ind w:left="720"/>
      </w:pPr>
      <w:r>
        <w:t>针对 106 个通过造血干细胞安全过滤的差异表达基因（DEGs），计算其在所有患者中的表达量中位数。</w:t>
      </w:r>
    </w:p>
    <w:p>
      <w:pPr>
        <w:pStyle w:val="ListBullet"/>
        <w:spacing w:after="60"/>
        <w:ind w:left="720"/>
      </w:pPr>
      <w:r>
        <w:t>将 130 名患者划分为“高表达组（$\ge$ 中位数）”和“低表达组（$&lt;$ 中位数）”，确保两组样本在统计学上均衡分布，为后续生存检验提供了无偏的队列划分。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生存检验与 Cox 风险回归筛选</w:t>
      </w:r>
      <w:r>
        <w:t>：</w:t>
      </w:r>
    </w:p>
    <w:p>
      <w:pPr>
        <w:pStyle w:val="ListBullet"/>
        <w:spacing w:after="60"/>
        <w:ind w:left="720"/>
      </w:pPr>
      <w:r>
        <w:t xml:space="preserve">运行 </w:t>
      </w:r>
      <w:r>
        <w:rPr>
          <w:b/>
        </w:rPr>
        <w:t>Kaplan-Meier 生存估计</w:t>
      </w:r>
      <w:r>
        <w:t xml:space="preserve">，并采用 </w:t>
      </w:r>
      <w:r>
        <w:rPr>
          <w:b/>
        </w:rPr>
        <w:t>Log-rank 检验</w:t>
      </w:r>
      <w:r>
        <w:t xml:space="preserve"> 评估表达高/低两组患者的整体生存率差异。</w:t>
      </w:r>
    </w:p>
    <w:p>
      <w:pPr>
        <w:pStyle w:val="ListBullet"/>
        <w:spacing w:after="60"/>
        <w:ind w:left="720"/>
      </w:pPr>
      <w:r>
        <w:t xml:space="preserve">运行 </w:t>
      </w:r>
      <w:r>
        <w:rPr>
          <w:b/>
        </w:rPr>
        <w:t>单变量 Cox 比例风险回归模型</w:t>
      </w:r>
      <w:r>
        <w:t>，定量计算各基因的风险比（Hazard Ratio, HR）及其 95% 置信区间（CI）与 P 值。</w:t>
      </w:r>
    </w:p>
    <w:p>
      <w:pPr>
        <w:pStyle w:val="ListBullet"/>
        <w:spacing w:after="60"/>
        <w:ind w:left="720"/>
      </w:pPr>
      <w:r>
        <w:t>设定严格的预后高危标志物筛选阈值：</w:t>
      </w:r>
      <w:r>
        <w:rPr>
          <w:b/>
        </w:rPr>
        <w:t>$\text{HR} &gt; 1.5$ 且 $P &lt; 0.05$</w:t>
      </w:r>
      <w:r>
        <w:t xml:space="preserve">。最终从 106 个基因中精准锁定 </w:t>
      </w:r>
      <w:r>
        <w:rPr>
          <w:b/>
        </w:rPr>
        <w:t>13 个</w:t>
      </w:r>
      <w:r>
        <w:t>具有显著预后危害性的生存相关基因。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归档 Week4 文件夹</w:t>
      </w:r>
      <w:r>
        <w:t>：</w:t>
      </w:r>
    </w:p>
    <w:p>
      <w:pPr>
        <w:pStyle w:val="ListBullet"/>
        <w:spacing w:after="60"/>
        <w:ind w:left="720"/>
      </w:pPr>
      <w:r>
        <w:t xml:space="preserve">在项目根目录下创建了 </w:t>
      </w:r>
      <w:r>
        <w:rPr>
          <w:rFonts w:ascii="Courier New" w:hAnsi="Courier New"/>
          <w:color w:val="505050"/>
          <w:sz w:val="19"/>
        </w:rPr>
        <w:t>Week4/</w:t>
      </w:r>
      <w:r>
        <w:t xml:space="preserve"> 文件夹。</w:t>
      </w:r>
    </w:p>
    <w:p>
      <w:pPr>
        <w:pStyle w:val="ListBullet"/>
        <w:spacing w:after="60"/>
        <w:ind w:left="720"/>
      </w:pPr>
      <w:r>
        <w:t>将最终的 13 个高危预后基因列表（</w:t>
      </w:r>
      <w:r>
        <w:rPr>
          <w:rFonts w:ascii="Courier New" w:hAnsi="Courier New"/>
          <w:color w:val="505050"/>
          <w:sz w:val="19"/>
        </w:rPr>
        <w:t>.csv</w:t>
      </w:r>
      <w:r>
        <w:t>）、高危基因的生存分析森林图（</w:t>
      </w:r>
      <w:r>
        <w:rPr>
          <w:rFonts w:ascii="Courier New" w:hAnsi="Courier New"/>
          <w:color w:val="505050"/>
          <w:sz w:val="19"/>
        </w:rPr>
        <w:t>.png</w:t>
      </w:r>
      <w:r>
        <w:t>）、以及 4 个代表性预后基因的 KM 生存曲线面板图（</w:t>
      </w:r>
      <w:r>
        <w:rPr>
          <w:rFonts w:ascii="Courier New" w:hAnsi="Courier New"/>
          <w:color w:val="505050"/>
          <w:sz w:val="19"/>
        </w:rPr>
        <w:t>.png</w:t>
      </w:r>
      <w:r>
        <w:t xml:space="preserve">）拷贝并归档于 </w:t>
      </w:r>
      <w:r>
        <w:rPr>
          <w:rFonts w:ascii="Courier New" w:hAnsi="Courier New"/>
          <w:color w:val="505050"/>
          <w:sz w:val="19"/>
        </w:rPr>
        <w:t>Week4/</w:t>
      </w:r>
      <w:r>
        <w:t>。</w:t>
      </w:r>
    </w:p>
    <w:p>
      <w:pPr>
        <w:pStyle w:val="ListBullet"/>
        <w:spacing w:after="60"/>
        <w:ind w:left="720"/>
      </w:pPr>
      <w:r>
        <w:t>所有的脚本改动与生成结果均已成功提交并推送到 GitHub 远程仓库。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二、 最终输出文件解析：保留的都是什么？</w:t>
      </w:r>
    </w:p>
    <w:p>
      <w:pPr>
        <w:spacing w:after="120" w:line="276" w:lineRule="auto"/>
      </w:pPr>
      <w:r>
        <w:t xml:space="preserve">在 </w:t>
      </w:r>
      <w:r>
        <w:rPr>
          <w:rFonts w:ascii="Courier New" w:hAnsi="Courier New"/>
          <w:color w:val="505050"/>
          <w:sz w:val="19"/>
        </w:rPr>
        <w:t>Week4/</w:t>
      </w:r>
      <w:r>
        <w:t xml:space="preserve"> 文件夹下，我们归档了 </w:t>
      </w:r>
      <w:r>
        <w:rPr>
          <w:b/>
        </w:rPr>
        <w:t>3 个核心产出文件</w:t>
      </w:r>
      <w:r>
        <w:t>，其具体内容和结构如下：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1. 显著预后高危基因列表</w:t>
      </w:r>
    </w:p>
    <w:p>
      <w:pPr>
        <w:pStyle w:val="ListBullet"/>
        <w:spacing w:after="60"/>
        <w:ind w:left="360"/>
      </w:pPr>
      <w:r/>
      <w:r>
        <w:rPr>
          <w:b/>
        </w:rPr>
        <w:t>`sig_degs_survival_filtered.csv`</w:t>
      </w:r>
      <w:r/>
    </w:p>
    <w:p>
      <w:pPr>
        <w:pStyle w:val="ListBullet"/>
        <w:spacing w:after="60"/>
        <w:ind w:left="720"/>
      </w:pPr>
      <w:r/>
      <w:r>
        <w:rPr>
          <w:b/>
        </w:rPr>
        <w:t>定义</w:t>
      </w:r>
      <w:r>
        <w:t>：单变量 Cox 回归中满足 $\text{HR} &gt; 1.5$ 且 $P &lt; 0.05$ 的 13 个高危生存相关基因的统计指标表。</w:t>
      </w:r>
    </w:p>
    <w:p>
      <w:pPr>
        <w:pStyle w:val="ListBullet"/>
        <w:spacing w:after="60"/>
        <w:ind w:left="720"/>
      </w:pPr>
      <w:r/>
      <w:r>
        <w:rPr>
          <w:b/>
        </w:rPr>
        <w:t>字段含义</w:t>
      </w:r>
      <w:r>
        <w:t>：</w:t>
      </w:r>
    </w:p>
    <w:p>
      <w:pPr>
        <w:pStyle w:val="ListBullet"/>
        <w:spacing w:after="60"/>
        <w:ind w:left="1080"/>
      </w:pPr>
      <w:r/>
      <w:r>
        <w:rPr>
          <w:rFonts w:ascii="Courier New" w:hAnsi="Courier New"/>
          <w:color w:val="505050"/>
          <w:sz w:val="19"/>
        </w:rPr>
        <w:t>gene_symbol</w:t>
      </w:r>
      <w:r>
        <w:t xml:space="preserve">：官方基因符号（针对含有短横线的基因如 </w:t>
      </w:r>
      <w:r>
        <w:rPr>
          <w:rFonts w:ascii="Courier New" w:hAnsi="Courier New"/>
          <w:color w:val="505050"/>
          <w:sz w:val="19"/>
        </w:rPr>
        <w:t>NKX2-3</w:t>
      </w:r>
      <w:r>
        <w:t>，已在报告生成中正确还原）。</w:t>
      </w:r>
    </w:p>
    <w:p>
      <w:pPr>
        <w:pStyle w:val="ListBullet"/>
        <w:spacing w:after="60"/>
        <w:ind w:left="1080"/>
      </w:pPr>
      <w:r/>
      <w:r>
        <w:rPr>
          <w:rFonts w:ascii="Courier New" w:hAnsi="Courier New"/>
          <w:color w:val="505050"/>
          <w:sz w:val="19"/>
        </w:rPr>
        <w:t>coef</w:t>
      </w:r>
      <w:r>
        <w:t>：回归系数（$\beta$ 值）。$\beta &gt; 0$ 表示该基因高表达会增加患者的死亡风险（属于 Hazard 基因）。</w:t>
      </w:r>
    </w:p>
    <w:p>
      <w:pPr>
        <w:pStyle w:val="ListBullet"/>
        <w:spacing w:after="60"/>
        <w:ind w:left="1080"/>
      </w:pPr>
      <w:r/>
      <w:r>
        <w:rPr>
          <w:rFonts w:ascii="Courier New" w:hAnsi="Courier New"/>
          <w:color w:val="505050"/>
          <w:sz w:val="19"/>
        </w:rPr>
        <w:t>HR</w:t>
      </w:r>
      <w:r>
        <w:t>：风险比（$\text{Hazard Ratio} = e^{\beta}$）。</w:t>
      </w:r>
    </w:p>
    <w:p>
      <w:pPr>
        <w:pStyle w:val="ListBullet"/>
        <w:spacing w:after="60"/>
        <w:ind w:left="1080"/>
      </w:pPr>
      <w:r/>
      <w:r>
        <w:rPr>
          <w:rFonts w:ascii="Courier New" w:hAnsi="Courier New"/>
          <w:color w:val="505050"/>
          <w:sz w:val="19"/>
        </w:rPr>
        <w:t>HR_CI_lower</w:t>
      </w:r>
      <w:r>
        <w:t xml:space="preserve"> / </w:t>
      </w:r>
      <w:r>
        <w:rPr>
          <w:rFonts w:ascii="Courier New" w:hAnsi="Courier New"/>
          <w:color w:val="505050"/>
          <w:sz w:val="19"/>
        </w:rPr>
        <w:t>HR_CI_upper</w:t>
      </w:r>
      <w:r>
        <w:t>：风险比的 95% 置信区间下界和上界。</w:t>
      </w:r>
    </w:p>
    <w:p>
      <w:pPr>
        <w:pStyle w:val="ListBullet"/>
        <w:spacing w:after="60"/>
        <w:ind w:left="1080"/>
      </w:pPr>
      <w:r/>
      <w:r>
        <w:rPr>
          <w:rFonts w:ascii="Courier New" w:hAnsi="Courier New"/>
          <w:color w:val="505050"/>
          <w:sz w:val="19"/>
        </w:rPr>
        <w:t>p_value</w:t>
      </w:r>
      <w:r>
        <w:t>：Cox 模型 Wald 检验的 P 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gene_symbol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coef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HR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HR_CI_lower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HR_CI_upper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p_value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IL1R2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0.6257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1.8695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1.1948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2.9252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0.0062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SLC15A3</w:t>
            </w:r>
            <w:r/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0.6142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1.8482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1.1687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2.9229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0.0086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NKX2-3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0.6059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1.8328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1.1650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2.8835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0.0088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NCF1C</w:t>
            </w:r>
            <w:r/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0.5936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1.8105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1.1483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2.8546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0.0106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NCF1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0.5897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1.8034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1.1445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2.8416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0.0110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VNN2</w:t>
            </w:r>
            <w:r/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0.5778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1.7822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1.1273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2.8175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0.0134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CXCR1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0.5474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1.7287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1.1038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2.7075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0.0168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IL3RA</w:t>
            </w:r>
            <w:r/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0.5396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1.7153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1.0950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2.6870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0.0184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CXCR2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0.5054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1.6577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1.0537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2.6081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0.0288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CD14</w:t>
            </w:r>
            <w:r/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0.4953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1.6409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1.0442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2.5786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0.0317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CMTM2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0.4902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1.6326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1.0390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2.5652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0.0335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GZMB</w:t>
            </w:r>
            <w:r/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0.4882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1.6293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1.0388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2.5557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0.0335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FPR2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0.4626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1.5882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1.0120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2.4924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0.0442</w:t>
            </w:r>
          </w:p>
        </w:tc>
      </w:tr>
    </w:tbl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2. 预后高危基因森林图</w:t>
      </w:r>
    </w:p>
    <w:p>
      <w:pPr>
        <w:pStyle w:val="ListBullet"/>
        <w:spacing w:after="60"/>
        <w:ind w:left="360"/>
      </w:pPr>
      <w:r/>
      <w:r>
        <w:rPr>
          <w:b/>
        </w:rPr>
        <w:t>`forest_plot_prognostic_genes.png`</w:t>
      </w:r>
      <w:r/>
    </w:p>
    <w:p>
      <w:pPr>
        <w:pStyle w:val="ListBullet"/>
        <w:spacing w:after="60"/>
        <w:ind w:left="720"/>
      </w:pPr>
      <w:r/>
      <w:r>
        <w:rPr>
          <w:b/>
        </w:rPr>
        <w:t>定义</w:t>
      </w:r>
      <w:r>
        <w:t>：直观展示这 13 个预后高危基因的 Hazard Ratio (HR) 及其 95% 置信区间的森林图。</w:t>
      </w:r>
    </w:p>
    <w:p>
      <w:pPr>
        <w:pStyle w:val="ListBullet"/>
        <w:spacing w:after="60"/>
        <w:ind w:left="720"/>
      </w:pPr>
      <w:r/>
      <w:r>
        <w:rPr>
          <w:b/>
        </w:rPr>
        <w:t>解释</w:t>
      </w:r>
      <w:r>
        <w:t>：横轴代表 HR 值，红色圆点代表 HR 估计值，水平黑色横线代表 95% 置信区间。所有 13 个基因的 HR 均明显大于 1.0（且置信区间不跨越 1.0 的无效基准线），表示它们在 AML 患者中均充当不良预后因子的角色。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8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plot_prognostic_ge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rial" w:hAnsi="Arial"/>
          <w:i/>
          <w:color w:val="646464"/>
          <w:sz w:val="19"/>
        </w:rPr>
        <w:t>图：Forest Plot of Prognostic Genes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3. 13 个高危基因 KM 生存曲线面板（共 4 张图）</w:t>
      </w:r>
    </w:p>
    <w:p>
      <w:pPr>
        <w:spacing w:after="120" w:line="276" w:lineRule="auto"/>
      </w:pPr>
      <w:r>
        <w:t>为了避免图表过于臃肿，我们将筛选出的 13 个显著高危预后基因分成了 4 张经典的 $2 \times 2$ 面板图展示：</w:t>
      </w:r>
    </w:p>
    <w:p>
      <w:pPr>
        <w:pStyle w:val="ListBullet"/>
        <w:spacing w:after="60"/>
        <w:ind w:left="360"/>
      </w:pPr>
      <w:r/>
      <w:r>
        <w:rPr>
          <w:b/>
        </w:rPr>
        <w:t>`km_curves_panel1.png`</w:t>
      </w:r>
      <w:r>
        <w:t xml:space="preserve"> (Panel 1)：展示统计学显著性最强的前 4 名基因：</w:t>
      </w:r>
      <w:r>
        <w:rPr>
          <w:rFonts w:ascii="Courier New" w:hAnsi="Courier New"/>
          <w:color w:val="505050"/>
          <w:sz w:val="19"/>
        </w:rPr>
        <w:t>IL1R2</w:t>
      </w:r>
      <w:r>
        <w:t>、</w:t>
      </w:r>
      <w:r>
        <w:rPr>
          <w:rFonts w:ascii="Courier New" w:hAnsi="Courier New"/>
          <w:color w:val="505050"/>
          <w:sz w:val="19"/>
        </w:rPr>
        <w:t>SLC15A3</w:t>
      </w:r>
      <w:r>
        <w:t>、</w:t>
      </w:r>
      <w:r>
        <w:rPr>
          <w:rFonts w:ascii="Courier New" w:hAnsi="Courier New"/>
          <w:color w:val="505050"/>
          <w:sz w:val="19"/>
        </w:rPr>
        <w:t>NKX2-3</w:t>
      </w:r>
      <w:r>
        <w:t>、</w:t>
      </w:r>
      <w:r>
        <w:rPr>
          <w:rFonts w:ascii="Courier New" w:hAnsi="Courier New"/>
          <w:color w:val="505050"/>
          <w:sz w:val="19"/>
        </w:rPr>
        <w:t>NCF1C</w:t>
      </w:r>
      <w:r>
        <w:t>。</w:t>
      </w:r>
    </w:p>
    <w:p>
      <w:pPr>
        <w:pStyle w:val="ListBullet"/>
        <w:spacing w:after="60"/>
        <w:ind w:left="360"/>
      </w:pPr>
      <w:r/>
      <w:r>
        <w:rPr>
          <w:b/>
        </w:rPr>
        <w:t>`km_curves_panel2.png`</w:t>
      </w:r>
      <w:r>
        <w:t xml:space="preserve"> (Panel 2)：展示第 5 至 7 名基因：</w:t>
      </w:r>
      <w:r>
        <w:rPr>
          <w:rFonts w:ascii="Courier New" w:hAnsi="Courier New"/>
          <w:color w:val="505050"/>
          <w:sz w:val="19"/>
        </w:rPr>
        <w:t>NCF1</w:t>
      </w:r>
      <w:r>
        <w:t>、</w:t>
      </w:r>
      <w:r>
        <w:rPr>
          <w:rFonts w:ascii="Courier New" w:hAnsi="Courier New"/>
          <w:color w:val="505050"/>
          <w:sz w:val="19"/>
        </w:rPr>
        <w:t>VNN2</w:t>
      </w:r>
      <w:r>
        <w:t>、</w:t>
      </w:r>
      <w:r>
        <w:rPr>
          <w:rFonts w:ascii="Courier New" w:hAnsi="Courier New"/>
          <w:color w:val="505050"/>
          <w:sz w:val="19"/>
        </w:rPr>
        <w:t>CXCR1</w:t>
      </w:r>
      <w:r>
        <w:t>。</w:t>
      </w:r>
    </w:p>
    <w:p>
      <w:pPr>
        <w:pStyle w:val="ListBullet"/>
        <w:spacing w:after="60"/>
        <w:ind w:left="360"/>
      </w:pPr>
      <w:r/>
      <w:r>
        <w:rPr>
          <w:b/>
        </w:rPr>
        <w:t>`km_curves_panel3.png`</w:t>
      </w:r>
      <w:r>
        <w:t xml:space="preserve"> (Panel 3)：展示第 8 至 10 名基因（含关键靶点 </w:t>
      </w:r>
      <w:r>
        <w:rPr>
          <w:rFonts w:ascii="Courier New" w:hAnsi="Courier New"/>
          <w:color w:val="505050"/>
          <w:sz w:val="19"/>
        </w:rPr>
        <w:t>IL3RA</w:t>
      </w:r>
      <w:r>
        <w:t>/CD123）：</w:t>
      </w:r>
      <w:r>
        <w:rPr>
          <w:rFonts w:ascii="Courier New" w:hAnsi="Courier New"/>
          <w:color w:val="505050"/>
          <w:sz w:val="19"/>
        </w:rPr>
        <w:t>IL3RA</w:t>
      </w:r>
      <w:r>
        <w:t>、</w:t>
      </w:r>
      <w:r>
        <w:rPr>
          <w:rFonts w:ascii="Courier New" w:hAnsi="Courier New"/>
          <w:color w:val="505050"/>
          <w:sz w:val="19"/>
        </w:rPr>
        <w:t>CXCR2</w:t>
      </w:r>
      <w:r>
        <w:t>、</w:t>
      </w:r>
      <w:r>
        <w:rPr>
          <w:rFonts w:ascii="Courier New" w:hAnsi="Courier New"/>
          <w:color w:val="505050"/>
          <w:sz w:val="19"/>
        </w:rPr>
        <w:t>CD14</w:t>
      </w:r>
      <w:r>
        <w:t>。</w:t>
      </w:r>
    </w:p>
    <w:p>
      <w:pPr>
        <w:pStyle w:val="ListBullet"/>
        <w:spacing w:after="60"/>
        <w:ind w:left="360"/>
      </w:pPr>
      <w:r/>
      <w:r>
        <w:rPr>
          <w:b/>
        </w:rPr>
        <w:t>`km_curves_panel4.png`</w:t>
      </w:r>
      <w:r>
        <w:t xml:space="preserve"> (Panel 4)：展示第 11 至 13 名基因：</w:t>
      </w:r>
      <w:r>
        <w:rPr>
          <w:rFonts w:ascii="Courier New" w:hAnsi="Courier New"/>
          <w:color w:val="505050"/>
          <w:sz w:val="19"/>
        </w:rPr>
        <w:t>CMTM2</w:t>
      </w:r>
      <w:r>
        <w:t>、</w:t>
      </w:r>
      <w:r>
        <w:rPr>
          <w:rFonts w:ascii="Courier New" w:hAnsi="Courier New"/>
          <w:color w:val="505050"/>
          <w:sz w:val="19"/>
        </w:rPr>
        <w:t>GZMB</w:t>
      </w:r>
      <w:r>
        <w:t>、</w:t>
      </w:r>
      <w:r>
        <w:rPr>
          <w:rFonts w:ascii="Courier New" w:hAnsi="Courier New"/>
          <w:color w:val="505050"/>
          <w:sz w:val="19"/>
        </w:rPr>
        <w:t>FPR2</w:t>
      </w:r>
      <w:r>
        <w:t>。</w:t>
      </w:r>
    </w:p>
    <w:p>
      <w:pPr>
        <w:spacing w:after="120" w:line="276" w:lineRule="auto"/>
      </w:pPr>
      <w:r>
        <w:t>在每张图中，蓝色曲线代表对应基因的低表达组，红色曲线代表高表达组。图表中附带 Log-rank 检验的 P 值及患者风险人数表（Risk Table）。所有 13 个高危基因的生存曲线均表明高表达组（红线）的存活率衰减速度显著快于低表达组（蓝线），证明其临床高危特征。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curves_pan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rial" w:hAnsi="Arial"/>
          <w:i/>
          <w:color w:val="646464"/>
          <w:sz w:val="19"/>
        </w:rPr>
        <w:t>图：KM Survival Curves Panel 1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curves_panel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rial" w:hAnsi="Arial"/>
          <w:i/>
          <w:color w:val="646464"/>
          <w:sz w:val="19"/>
        </w:rPr>
        <w:t>图：KM Survival Curves Panel 2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curves_panel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rial" w:hAnsi="Arial"/>
          <w:i/>
          <w:color w:val="646464"/>
          <w:sz w:val="19"/>
        </w:rPr>
        <w:t>图：KM Survival Curves Panel 3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curves_panel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rial" w:hAnsi="Arial"/>
          <w:i/>
          <w:color w:val="646464"/>
          <w:sz w:val="19"/>
        </w:rPr>
        <w:t>图：KM Survival Curves Panel 4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三、 核心生信与临床风险评估逻辑解析：为什么这么做？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1. 为什么在此阶段仅执行单变量 Cox 回归，而不直接做多变量回归？</w:t>
      </w:r>
    </w:p>
    <w:p>
      <w:pPr>
        <w:pStyle w:val="ListBullet"/>
        <w:spacing w:after="60"/>
        <w:ind w:left="360"/>
      </w:pPr>
      <w:r/>
      <w:r>
        <w:rPr>
          <w:b/>
        </w:rPr>
        <w:t>避免高维过拟合与共线性（High-dimensional Overfitting）</w:t>
      </w:r>
      <w:r>
        <w:t>：多变量 Cox 模型要求样本量 $n$ 大大超过解释变量个数 $p$。我们只有 130 个有效生存样本，如果把 106 个基因同时放入一个多变量 Cox 回归模型，模型参数会严重过拟合，估计出来的风险比（HR）误差极大，且基因之间极强的共线性（Multicollinearity）会导致矩阵奇异或参数符号混乱。</w:t>
      </w:r>
    </w:p>
    <w:p>
      <w:pPr>
        <w:pStyle w:val="ListBullet"/>
        <w:spacing w:after="60"/>
        <w:ind w:left="360"/>
      </w:pPr>
      <w:r/>
      <w:r>
        <w:rPr>
          <w:b/>
        </w:rPr>
        <w:t>分阶段筛选策略</w:t>
      </w:r>
      <w:r>
        <w:t>：国际公认的做法是“先单变量筛选，后多变量调整”。先通过单变量 Cox 排除那些与生存无关的背景杂音基因，精简靶点数量，为后续结合年龄、WBC、分子分型等临床特征建立多变量独立预后评估模型奠定基础。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2. HR &gt; 1.5 且 P &lt; 0.05 筛选标准的临床意义是什么？</w:t>
      </w:r>
    </w:p>
    <w:p>
      <w:pPr>
        <w:pStyle w:val="ListBullet"/>
        <w:spacing w:after="60"/>
        <w:ind w:left="360"/>
      </w:pPr>
      <w:r/>
      <w:r>
        <w:rPr>
          <w:b/>
        </w:rPr>
        <w:t>P &lt; 0.05 的含义</w:t>
      </w:r>
      <w:r>
        <w:t>：这代表表达量高低两组患者的生存差异在统计学上是显著的，排除由抽样误差导致的假阳性。</w:t>
      </w:r>
    </w:p>
    <w:p>
      <w:pPr>
        <w:pStyle w:val="ListBullet"/>
        <w:spacing w:after="60"/>
        <w:ind w:left="360"/>
      </w:pPr>
      <w:r/>
      <w:r>
        <w:rPr>
          <w:b/>
        </w:rPr>
        <w:t>HR &gt; 1.5 的含义</w:t>
      </w:r>
      <w:r>
        <w:t>：风险比（Hazard Ratio, HR）是衡量死亡事件发生风险的相对指标。例如，</w:t>
      </w:r>
      <w:r>
        <w:rPr>
          <w:rFonts w:ascii="Courier New" w:hAnsi="Courier New"/>
          <w:color w:val="505050"/>
          <w:sz w:val="19"/>
        </w:rPr>
        <w:t>IL3RA</w:t>
      </w:r>
      <w:r>
        <w:t xml:space="preserve"> (CD123) 的 $\text{HR} = 1.72$，意味着在任意生存时间截面上，</w:t>
      </w:r>
      <w:r>
        <w:rPr>
          <w:b/>
        </w:rPr>
        <w:t>`IL3RA` 高表达组患者的死亡风险（瞬时死亡率）是低表达组患者的 1.72 倍</w:t>
      </w:r>
      <w:r>
        <w:t>。设定 $\text{HR} &gt; 1.5$ 可以剔除那些仅具有微弱生物学效能的“弱相关”基因，确保筛选出的 13 个靶点在临床上具有强烈的致病相关性与预后指导价值。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3. 为什么选择中位数分组，它的优势与局限是什么？</w:t>
      </w:r>
    </w:p>
    <w:p>
      <w:pPr>
        <w:pStyle w:val="ListBullet"/>
        <w:spacing w:after="60"/>
        <w:ind w:left="360"/>
      </w:pPr>
      <w:r/>
      <w:r>
        <w:rPr>
          <w:b/>
        </w:rPr>
        <w:t>优势</w:t>
      </w:r>
      <w:r>
        <w:t>：</w:t>
      </w:r>
    </w:p>
    <w:p>
      <w:pPr>
        <w:pStyle w:val="ListBullet"/>
        <w:spacing w:after="60"/>
        <w:ind w:left="720"/>
      </w:pPr>
      <w:r/>
      <w:r>
        <w:rPr>
          <w:b/>
        </w:rPr>
        <w:t>统计功效最大化</w:t>
      </w:r>
      <w:r>
        <w:t>：中位数分组将样本以 50%:50% 的比例对半划分。在生存分析中，这种均分可以最大化两组之间的比较功效，避免某些分组样本极少导致的统计敏感度下降。</w:t>
      </w:r>
    </w:p>
    <w:p>
      <w:pPr>
        <w:pStyle w:val="ListBullet"/>
        <w:spacing w:after="60"/>
        <w:ind w:left="720"/>
      </w:pPr>
      <w:r/>
      <w:r>
        <w:rPr>
          <w:b/>
        </w:rPr>
        <w:t>临床转换的简易性</w:t>
      </w:r>
      <w:r>
        <w:t>：相比于繁琐的连续值计算，二分类的高/低在临床上极其易于落地实施（例如通过 IHC 或 qPCR 定性判定患者属于高表达还是低表达，快速完成风险分层）。</w:t>
      </w:r>
    </w:p>
    <w:p>
      <w:pPr>
        <w:pStyle w:val="ListBullet"/>
        <w:spacing w:after="60"/>
        <w:ind w:left="360"/>
      </w:pPr>
      <w:r/>
      <w:r>
        <w:rPr>
          <w:b/>
        </w:rPr>
        <w:t>局限</w:t>
      </w:r>
      <w:r>
        <w:t>：</w:t>
      </w:r>
    </w:p>
    <w:p>
      <w:pPr>
        <w:pStyle w:val="ListBullet"/>
        <w:spacing w:after="60"/>
        <w:ind w:left="720"/>
      </w:pPr>
      <w:r>
        <w:t>中位数分组忽略了高表达和低表达组内部的表达量阶梯变化，可能略微损失了连续变量的预测精度。但在高通量大样本筛选中，中位数分组是一种在“稳健性”与“简便性”之间取得完美平衡的首选方法。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4. 代表性基因的临床与免疫治疗背景</w:t>
      </w:r>
    </w:p>
    <w:p>
      <w:pPr>
        <w:pStyle w:val="ListBullet"/>
        <w:spacing w:after="60"/>
        <w:ind w:left="360"/>
      </w:pPr>
      <w:r/>
      <w:r>
        <w:rPr>
          <w:b/>
        </w:rPr>
        <w:t>`IL3RA` (CD123)</w:t>
      </w:r>
      <w:r>
        <w:t xml:space="preserve"> ($\text{HR} = 1.72, P = 0.018$)：</w:t>
      </w:r>
    </w:p>
    <w:p>
      <w:pPr>
        <w:pStyle w:val="ListBullet"/>
        <w:spacing w:after="60"/>
        <w:ind w:left="720"/>
      </w:pPr>
      <w:r>
        <w:t>CD123 是白介素-3受体的 $\alpha$ 链，在 AML 原始细胞和白血病干细胞（LSCs）上广泛过表达。</w:t>
      </w:r>
    </w:p>
    <w:p>
      <w:pPr>
        <w:pStyle w:val="ListBullet"/>
        <w:spacing w:after="60"/>
        <w:ind w:left="720"/>
      </w:pPr>
      <w:r/>
      <w:r>
        <w:rPr>
          <w:b/>
        </w:rPr>
        <w:t>“安全-有效”双重证据</w:t>
      </w:r>
      <w:r>
        <w:t xml:space="preserve">：在 Week 3 中，我们通过造血干细胞安全过滤排除了高毒性靶点（如 </w:t>
      </w:r>
      <w:r>
        <w:rPr>
          <w:rFonts w:ascii="Courier New" w:hAnsi="Courier New"/>
          <w:color w:val="505050"/>
          <w:sz w:val="19"/>
        </w:rPr>
        <w:t>FLT3</w:t>
      </w:r>
      <w:r>
        <w:t>），并确立了 CD123 属于正常造血干细胞低表达的安全靶点。在本周的生存分析中，我们发现 CD123 高表达与不良预后呈强正相关。这为 CD123 靶向治疗（如 ADC 药物 Tagraxofusp、CAR-T 等）提供了极具说服力的转化医学依据：</w:t>
      </w:r>
      <w:r>
        <w:rPr>
          <w:b/>
        </w:rPr>
        <w:t>针对 CD123 开发靶向治疗不仅安全性可控，而且在杀伤高表达的预后极差患者中具有极高的临床紧迫性</w:t>
      </w:r>
      <w:r>
        <w:t>。</w:t>
      </w:r>
    </w:p>
    <w:p>
      <w:pPr>
        <w:pStyle w:val="ListBullet"/>
        <w:spacing w:after="60"/>
        <w:ind w:left="360"/>
      </w:pPr>
      <w:r/>
      <w:r>
        <w:rPr>
          <w:b/>
        </w:rPr>
        <w:t>`IL1R2`</w:t>
      </w:r>
      <w:r>
        <w:t xml:space="preserve"> ($\text{HR} = 1.87, P = 0.006$)：</w:t>
      </w:r>
    </w:p>
    <w:p>
      <w:pPr>
        <w:pStyle w:val="ListBullet"/>
        <w:spacing w:after="60"/>
        <w:ind w:left="720"/>
      </w:pPr>
      <w:r>
        <w:t>本研究中 HR 最高的危险基因。白介素-1受体II型是一种“诱骗受体（Decoy Receptor）”，主要结合 IL-1 并抑制其生物学活性。</w:t>
      </w:r>
    </w:p>
    <w:p>
      <w:pPr>
        <w:pStyle w:val="ListBullet"/>
        <w:spacing w:after="60"/>
        <w:ind w:left="720"/>
      </w:pPr>
      <w:r>
        <w:t>在肿瘤微环境中，</w:t>
      </w:r>
      <w:r>
        <w:rPr>
          <w:rFonts w:ascii="Courier New" w:hAnsi="Courier New"/>
          <w:color w:val="505050"/>
          <w:sz w:val="19"/>
        </w:rPr>
        <w:t>IL1R2</w:t>
      </w:r>
      <w:r>
        <w:t xml:space="preserve"> 的异常高表达能抑制抗肿瘤炎症反应，促进免疫逃逸，被广泛认为是实体瘤和血液肿瘤中的新型免疫抑制靶标。</w:t>
      </w:r>
    </w:p>
    <w:p>
      <w:pPr>
        <w:pStyle w:val="ListBullet"/>
        <w:spacing w:after="60"/>
        <w:ind w:left="360"/>
      </w:pPr>
      <w:r/>
      <w:r>
        <w:rPr>
          <w:b/>
        </w:rPr>
        <w:t>`SLC15A3`</w:t>
      </w:r>
      <w:r>
        <w:t xml:space="preserve"> ($\text{HR} = 1.85, P = 0.009$)：</w:t>
      </w:r>
    </w:p>
    <w:p>
      <w:pPr>
        <w:pStyle w:val="ListBullet"/>
        <w:spacing w:after="60"/>
        <w:ind w:left="720"/>
      </w:pPr>
      <w:r>
        <w:t>溶质载体家族成员，负责溶酶体内的组氨酸及短肽转运。</w:t>
      </w:r>
    </w:p>
    <w:p>
      <w:pPr>
        <w:pStyle w:val="ListBullet"/>
        <w:spacing w:after="60"/>
        <w:ind w:left="720"/>
      </w:pPr>
      <w:r>
        <w:t>在髓系细胞活化和天然免疫通路（如 NOD 样受体）中扮演关键转运体。其高表达与 AML 细胞的恶性增殖及肿瘤微环境重塑密切相关。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四、 下游应用前景：这些生存相关靶点未来如何利用？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多基因预后风险评分模型（Prognostic Signature）</w:t>
      </w:r>
      <w:r>
        <w:t>：</w:t>
      </w:r>
    </w:p>
    <w:p>
      <w:pPr>
        <w:pStyle w:val="ListBullet"/>
        <w:spacing w:after="60"/>
        <w:ind w:left="720"/>
      </w:pPr>
      <w:r>
        <w:t>可以使用 LASSO-Cox 回归，从这 13 个基因中优选出 3-5 个基因，根据其 Cox 回归系数加权构建一个“生存风险评分（Risk Score）”，该评分可将患者精确划分为高危、中危和低危组，用于临床生存预测。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与分子遗传学标志物（ELN分层）联用</w:t>
      </w:r>
      <w:r>
        <w:t>：</w:t>
      </w:r>
    </w:p>
    <w:p>
      <w:pPr>
        <w:pStyle w:val="ListBullet"/>
        <w:spacing w:after="60"/>
        <w:ind w:left="720"/>
      </w:pPr>
      <w:r>
        <w:t xml:space="preserve">将这 13 个基因的表达状态与临床已知的分子异常（如 </w:t>
      </w:r>
      <w:r>
        <w:rPr>
          <w:rFonts w:ascii="Courier New" w:hAnsi="Courier New"/>
          <w:color w:val="505050"/>
          <w:sz w:val="19"/>
        </w:rPr>
        <w:t>NPM1</w:t>
      </w:r>
      <w:r>
        <w:t xml:space="preserve"> 突变、</w:t>
      </w:r>
      <w:r>
        <w:rPr>
          <w:rFonts w:ascii="Courier New" w:hAnsi="Courier New"/>
          <w:color w:val="505050"/>
          <w:sz w:val="19"/>
        </w:rPr>
        <w:t>FLT3-ITD</w:t>
      </w:r>
      <w:r>
        <w:t xml:space="preserve"> 突变、</w:t>
      </w:r>
      <w:r>
        <w:rPr>
          <w:rFonts w:ascii="Courier New" w:hAnsi="Courier New"/>
          <w:color w:val="505050"/>
          <w:sz w:val="19"/>
        </w:rPr>
        <w:t>ASXL1</w:t>
      </w:r>
      <w:r>
        <w:t xml:space="preserve"> 突变等）相结合，提升现有 ELN 预后分层系统的准确性。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安全有效的免疫治疗靶点优选</w:t>
      </w:r>
      <w:r>
        <w:t>：</w:t>
      </w:r>
    </w:p>
    <w:p>
      <w:pPr>
        <w:pStyle w:val="ListBullet"/>
        <w:spacing w:after="60"/>
        <w:ind w:left="720"/>
      </w:pPr>
      <w:r>
        <w:t>结合 Week 3 的“干细胞安全过滤”和 Week 4 的“高危生存危害”，我们可以得到一个</w:t>
      </w:r>
      <w:r>
        <w:rPr>
          <w:b/>
        </w:rPr>
        <w:t>黄金靶点交集</w:t>
      </w:r>
      <w:r>
        <w:t>：既对健康骨髓干细胞安全（HSPC 表达 $&lt;$ 7.0），又具有高度的 AML 恶性危害性（$\text{HR} &gt; 1.5$）。</w:t>
      </w:r>
    </w:p>
    <w:p>
      <w:pPr>
        <w:pStyle w:val="ListBullet"/>
        <w:spacing w:after="60"/>
        <w:ind w:left="720"/>
      </w:pPr>
      <w:r/>
      <w:r>
        <w:rPr>
          <w:rFonts w:ascii="Courier New" w:hAnsi="Courier New"/>
          <w:color w:val="505050"/>
          <w:sz w:val="19"/>
        </w:rPr>
        <w:t>IL3RA</w:t>
      </w:r>
      <w:r>
        <w:t xml:space="preserve"> (CD123)、</w:t>
      </w:r>
      <w:r>
        <w:rPr>
          <w:rFonts w:ascii="Courier New" w:hAnsi="Courier New"/>
          <w:color w:val="505050"/>
          <w:sz w:val="19"/>
        </w:rPr>
        <w:t>VNN2</w:t>
      </w:r>
      <w:r>
        <w:t xml:space="preserve"> 和 </w:t>
      </w:r>
      <w:r>
        <w:rPr>
          <w:rFonts w:ascii="Courier New" w:hAnsi="Courier New"/>
          <w:color w:val="505050"/>
          <w:sz w:val="19"/>
        </w:rPr>
        <w:t>CXCR1</w:t>
      </w:r>
      <w:r>
        <w:t xml:space="preserve"> 均是此交集中的璀璨明珠，为自主研发高安全性、强生存获益的 AML 抗体和细胞治疗药物指明了方向。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