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Arial" w:hAnsi="Arial"/>
          <w:b/>
          <w:color w:val="1F4E79"/>
          <w:sz w:val="36"/>
        </w:rPr>
        <w:t>Week 2 项目描述与数据清理参考手册：急性髓系白血病（AML）多中心转录组数据整合</w:t>
      </w:r>
    </w:p>
    <w:p>
      <w:pPr>
        <w:spacing w:after="120" w:line="276" w:lineRule="auto"/>
      </w:pPr>
      <w:r>
        <w:t>本手册旨在详细记录 Week 2 的工作内容、各脚本的作用、清理后文件的具体含义，以及关键生物信息学处理逻辑的深度解析。它可以作为您后续分析的快速查询字典与项目交接/汇报底稿。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一、 本周工作总结：我干了什么？</w:t>
      </w:r>
    </w:p>
    <w:p>
      <w:pPr>
        <w:spacing w:after="120" w:line="276" w:lineRule="auto"/>
      </w:pPr>
      <w:r>
        <w:t xml:space="preserve">本周完成了 </w:t>
      </w:r>
      <w:r>
        <w:rPr>
          <w:b/>
        </w:rPr>
        <w:t>AML 发现集（Discovery Cohort）与独立验证集（Validation Cohort）的数据下载、数据清洗、基因名对齐，并将原始单体代码重构为四个模块化的独立 R 脚本</w:t>
      </w:r>
      <w:r>
        <w:t>：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清理历史缓存</w:t>
      </w:r>
      <w:r>
        <w:t xml:space="preserve">：完全清空了 </w:t>
      </w:r>
      <w:r>
        <w:rPr>
          <w:rFonts w:ascii="Courier New" w:hAnsi="Courier New"/>
          <w:color w:val="505050"/>
          <w:sz w:val="19"/>
        </w:rPr>
        <w:t>data_clean/</w:t>
      </w:r>
      <w:r>
        <w:t xml:space="preserve"> 目录，确保本周的运行结果不受旧版干扰。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脚本重构与模块化</w:t>
      </w:r>
      <w:r>
        <w:t xml:space="preserve">：将冗长复杂的单体代码，重构成放置在 </w:t>
      </w:r>
      <w:r>
        <w:rPr>
          <w:rFonts w:ascii="Courier New" w:hAnsi="Courier New"/>
          <w:color w:val="505050"/>
          <w:sz w:val="19"/>
        </w:rPr>
        <w:t>scripts/</w:t>
      </w:r>
      <w:r>
        <w:t xml:space="preserve"> 下的四个独立 R 脚本。它们之间不共享内存空间，而是通过磁盘文件（</w:t>
      </w:r>
      <w:r>
        <w:rPr>
          <w:rFonts w:ascii="Courier New" w:hAnsi="Courier New"/>
          <w:color w:val="505050"/>
          <w:sz w:val="19"/>
        </w:rPr>
        <w:t>.rds</w:t>
      </w:r>
      <w:r>
        <w:t xml:space="preserve"> / </w:t>
      </w:r>
      <w:r>
        <w:rPr>
          <w:rFonts w:ascii="Courier New" w:hAnsi="Courier New"/>
          <w:color w:val="505050"/>
          <w:sz w:val="19"/>
        </w:rPr>
        <w:t>.csv</w:t>
      </w:r>
      <w:r>
        <w:t>）安全传递依赖关系。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增强防御性与稳定性</w:t>
      </w:r>
      <w:r>
        <w:t>：</w:t>
      </w:r>
    </w:p>
    <w:p>
      <w:pPr>
        <w:pStyle w:val="ListBullet"/>
        <w:spacing w:after="60"/>
        <w:ind w:left="720"/>
      </w:pPr>
      <w:r>
        <w:t xml:space="preserve">在 TCGA 脚本中，加入了 </w:t>
      </w:r>
      <w:r>
        <w:rPr>
          <w:rFonts w:ascii="Courier New" w:hAnsi="Courier New"/>
          <w:color w:val="505050"/>
          <w:sz w:val="19"/>
        </w:rPr>
        <w:t>jsonlite</w:t>
      </w:r>
      <w:r>
        <w:t xml:space="preserve">, </w:t>
      </w:r>
      <w:r>
        <w:rPr>
          <w:rFonts w:ascii="Courier New" w:hAnsi="Courier New"/>
          <w:color w:val="505050"/>
          <w:sz w:val="19"/>
        </w:rPr>
        <w:t>httr</w:t>
      </w:r>
      <w:r>
        <w:t xml:space="preserve">, </w:t>
      </w:r>
      <w:r>
        <w:rPr>
          <w:rFonts w:ascii="Courier New" w:hAnsi="Courier New"/>
          <w:color w:val="505050"/>
          <w:sz w:val="19"/>
        </w:rPr>
        <w:t>plyr</w:t>
      </w:r>
      <w:r>
        <w:t xml:space="preserve"> 的缺漏自动检测与安装；添加了表达谱 </w:t>
      </w:r>
      <w:r>
        <w:rPr>
          <w:rFonts w:ascii="Courier New" w:hAnsi="Courier New"/>
          <w:color w:val="505050"/>
          <w:sz w:val="19"/>
        </w:rPr>
        <w:t>tpm_unstrand</w:t>
      </w:r>
      <w:r>
        <w:t xml:space="preserve"> assay 存在性校验。</w:t>
      </w:r>
    </w:p>
    <w:p>
      <w:pPr>
        <w:pStyle w:val="ListBullet"/>
        <w:spacing w:after="60"/>
        <w:ind w:left="720"/>
      </w:pPr>
      <w:r>
        <w:t>在 GSE13159 脚本中，优化了对数尺度的判定顺序：</w:t>
      </w:r>
      <w:r>
        <w:rPr>
          <w:b/>
        </w:rPr>
        <w:t>先计算原表达矩阵的值范围（Range），再对负背景值进行零剪切</w:t>
      </w:r>
      <w:r>
        <w:t>，避免了数值分布破坏，保障了判断的严谨性。</w:t>
      </w:r>
    </w:p>
    <w:p>
      <w:pPr>
        <w:pStyle w:val="ListBullet"/>
        <w:spacing w:after="60"/>
        <w:ind w:left="720"/>
      </w:pPr>
      <w:r>
        <w:t xml:space="preserve">在合并脚本中，增加了基于 </w:t>
      </w:r>
      <w:r>
        <w:rPr>
          <w:rFonts w:ascii="Courier New" w:hAnsi="Courier New"/>
          <w:color w:val="505050"/>
          <w:sz w:val="19"/>
        </w:rPr>
        <w:t>match()</w:t>
      </w:r>
      <w:r>
        <w:t xml:space="preserve"> 的样本名称物理重对齐，并在输出前采用 </w:t>
      </w:r>
      <w:r>
        <w:rPr>
          <w:rFonts w:ascii="Courier New" w:hAnsi="Courier New"/>
          <w:color w:val="505050"/>
          <w:sz w:val="19"/>
        </w:rPr>
        <w:t>identical()</w:t>
      </w:r>
      <w:r>
        <w:t xml:space="preserve"> 进行了双重强效对齐阻断校验。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Git 与 GitHub 准备</w:t>
      </w:r>
      <w:r>
        <w:t xml:space="preserve">：在项目根目录创建了 </w:t>
      </w:r>
      <w:r>
        <w:rPr>
          <w:rFonts w:ascii="Courier New" w:hAnsi="Courier New"/>
          <w:color w:val="505050"/>
          <w:sz w:val="19"/>
        </w:rPr>
        <w:t>.gitignore</w:t>
      </w:r>
      <w:r>
        <w:t xml:space="preserve">，安全地忽略了数个 GB 的大文件，并编写了标准的项目说明文件 </w:t>
      </w:r>
      <w:r>
        <w:rPr>
          <w:rFonts w:ascii="Courier New" w:hAnsi="Courier New"/>
          <w:color w:val="505050"/>
          <w:sz w:val="19"/>
        </w:rPr>
        <w:t>README.md</w:t>
      </w:r>
      <w:r>
        <w:t>。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二、 输出文件速查表：每个文件都是干什么的？</w:t>
      </w:r>
    </w:p>
    <w:p>
      <w:pPr>
        <w:spacing w:after="120" w:line="276" w:lineRule="auto"/>
      </w:pPr>
      <w:r>
        <w:t xml:space="preserve">您的 </w:t>
      </w:r>
      <w:r>
        <w:rPr>
          <w:rFonts w:ascii="Courier New" w:hAnsi="Courier New"/>
          <w:color w:val="505050"/>
          <w:sz w:val="19"/>
        </w:rPr>
        <w:t>data_clean/</w:t>
      </w:r>
      <w:r>
        <w:t xml:space="preserve"> 文件夹下生成了 </w:t>
      </w:r>
      <w:r>
        <w:rPr>
          <w:b/>
        </w:rPr>
        <w:t>17 个文件</w:t>
      </w:r>
      <w:r>
        <w:t>。它们可以被分为四个功能块：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1. 发现集（Discovery Cohort）合并数据（下游去批次分析的直接输入）</w:t>
      </w:r>
    </w:p>
    <w:p>
      <w:pPr>
        <w:spacing w:after="120" w:line="276" w:lineRule="auto"/>
      </w:pPr>
      <w:r>
        <w:t xml:space="preserve">这是将 </w:t>
      </w:r>
      <w:r>
        <w:rPr>
          <w:b/>
        </w:rPr>
        <w:t>TCGA-LAML（疾病组）+ GTEx 全血（正常对照组）</w:t>
      </w:r>
      <w:r>
        <w:t xml:space="preserve"> 提取共有基因并进行列合并后的数据。</w:t>
      </w:r>
    </w:p>
    <w:p>
      <w:pPr>
        <w:pStyle w:val="ListBullet"/>
        <w:spacing w:after="60"/>
        <w:ind w:left="360"/>
      </w:pPr>
      <w:r/>
      <w:r>
        <w:rPr>
          <w:b/>
        </w:rPr>
        <w:t>`discovery_expr_log2tpm.rds`</w:t>
      </w:r>
      <w:r>
        <w:t xml:space="preserve"> &amp; </w:t>
      </w:r>
      <w:r>
        <w:rPr>
          <w:b/>
        </w:rPr>
        <w:t>`discovery_expr_log2tpm.csv`</w:t>
      </w:r>
      <w:r/>
    </w:p>
    <w:p>
      <w:pPr>
        <w:pStyle w:val="ListBullet"/>
        <w:spacing w:after="60"/>
        <w:ind w:left="720"/>
      </w:pPr>
      <w:r/>
      <w:r>
        <w:rPr>
          <w:b/>
        </w:rPr>
        <w:t>定义</w:t>
      </w:r>
      <w:r>
        <w:t>：合并后的表达量矩阵（维度：</w:t>
      </w:r>
      <w:r>
        <w:rPr>
          <w:b/>
        </w:rPr>
        <w:t>55,617 基因 × 906 样本</w:t>
      </w:r>
      <w:r>
        <w:t>）。</w:t>
      </w:r>
    </w:p>
    <w:p>
      <w:pPr>
        <w:pStyle w:val="ListBullet"/>
        <w:spacing w:after="60"/>
        <w:ind w:left="720"/>
      </w:pPr>
      <w:r/>
      <w:r>
        <w:rPr>
          <w:b/>
        </w:rPr>
        <w:t>解释</w:t>
      </w:r>
      <w:r>
        <w:t>：行名为去版本号的唯一 Ensembl ID，数值均转换为 $\log_2(\text{TPM} + 1)$。其中包含 151 例 TCGA AML 样本和 755 例 GTEx 正常全血样本。</w:t>
      </w:r>
    </w:p>
    <w:p>
      <w:pPr>
        <w:pStyle w:val="ListBullet"/>
        <w:spacing w:after="60"/>
        <w:ind w:left="360"/>
      </w:pPr>
      <w:r/>
      <w:r>
        <w:rPr>
          <w:b/>
        </w:rPr>
        <w:t>`discovery_sample_info.rds`</w:t>
      </w:r>
      <w:r>
        <w:t xml:space="preserve"> &amp; </w:t>
      </w:r>
      <w:r>
        <w:rPr>
          <w:b/>
        </w:rPr>
        <w:t>`discovery_sample_info.csv`</w:t>
      </w:r>
      <w:r/>
    </w:p>
    <w:p>
      <w:pPr>
        <w:pStyle w:val="ListBullet"/>
        <w:spacing w:after="60"/>
        <w:ind w:left="720"/>
      </w:pPr>
      <w:r/>
      <w:r>
        <w:rPr>
          <w:b/>
        </w:rPr>
        <w:t>定义</w:t>
      </w:r>
      <w:r>
        <w:t>：906 个样本的合并临床属性表。</w:t>
      </w:r>
    </w:p>
    <w:p>
      <w:pPr>
        <w:pStyle w:val="ListBullet"/>
        <w:spacing w:after="60"/>
        <w:ind w:left="720"/>
      </w:pPr>
      <w:r/>
      <w:r>
        <w:rPr>
          <w:b/>
        </w:rPr>
        <w:t>解释</w:t>
      </w:r>
      <w:r>
        <w:t>：记录了每个样本的来源（</w:t>
      </w:r>
      <w:r>
        <w:rPr>
          <w:rFonts w:ascii="Courier New" w:hAnsi="Courier New"/>
          <w:color w:val="505050"/>
          <w:sz w:val="19"/>
        </w:rPr>
        <w:t>source</w:t>
      </w:r>
      <w:r>
        <w:t>）、分组（</w:t>
      </w:r>
      <w:r>
        <w:rPr>
          <w:rFonts w:ascii="Courier New" w:hAnsi="Courier New"/>
          <w:color w:val="505050"/>
          <w:sz w:val="19"/>
        </w:rPr>
        <w:t>group</w:t>
      </w:r>
      <w:r>
        <w:t>: AML/Normal）和具体组织类型。行顺序与上述表达矩阵的列顺序 100% 绝对一致。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2. TCGA-LAML 癌症数据集（单独清洗结果）</w:t>
      </w:r>
    </w:p>
    <w:p>
      <w:pPr>
        <w:pStyle w:val="ListBullet"/>
        <w:spacing w:after="60"/>
        <w:ind w:left="360"/>
      </w:pPr>
      <w:r/>
      <w:r>
        <w:rPr>
          <w:b/>
        </w:rPr>
        <w:t>`tcga_laml_expr_log2tpm.rds`</w:t>
      </w:r>
      <w:r>
        <w:t xml:space="preserve"> &amp; </w:t>
      </w:r>
      <w:r>
        <w:rPr>
          <w:b/>
        </w:rPr>
        <w:t>`tcga_laml_expr_log2tpm.csv`</w:t>
      </w:r>
      <w:r/>
    </w:p>
    <w:p>
      <w:pPr>
        <w:pStyle w:val="ListBullet"/>
        <w:spacing w:after="60"/>
        <w:ind w:left="720"/>
      </w:pPr>
      <w:r/>
      <w:r>
        <w:rPr>
          <w:b/>
        </w:rPr>
        <w:t>解释</w:t>
      </w:r>
      <w:r>
        <w:t>：151 例 AML 骨髓样本的 $\log_2(\text{TPM} + 1)$ 表达量矩阵（60,616 基因）。</w:t>
      </w:r>
    </w:p>
    <w:p>
      <w:pPr>
        <w:pStyle w:val="ListBullet"/>
        <w:spacing w:after="60"/>
        <w:ind w:left="360"/>
      </w:pPr>
      <w:r/>
      <w:r>
        <w:rPr>
          <w:b/>
        </w:rPr>
        <w:t>`tcga_laml_sample_info.csv`</w:t>
      </w:r>
      <w:r/>
    </w:p>
    <w:p>
      <w:pPr>
        <w:pStyle w:val="ListBullet"/>
        <w:spacing w:after="60"/>
        <w:ind w:left="720"/>
      </w:pPr>
      <w:r/>
      <w:r>
        <w:rPr>
          <w:b/>
        </w:rPr>
        <w:t>解释</w:t>
      </w:r>
      <w:r>
        <w:t>：151 例样本的属性表。包含 12 位患者 ID (</w:t>
      </w:r>
      <w:r>
        <w:rPr>
          <w:rFonts w:ascii="Courier New" w:hAnsi="Courier New"/>
          <w:color w:val="505050"/>
          <w:sz w:val="19"/>
        </w:rPr>
        <w:t>patient_id</w:t>
      </w:r>
      <w:r>
        <w:t xml:space="preserve">，如 </w:t>
      </w:r>
      <w:r>
        <w:rPr>
          <w:rFonts w:ascii="Courier New" w:hAnsi="Courier New"/>
          <w:color w:val="505050"/>
          <w:sz w:val="19"/>
        </w:rPr>
        <w:t>TCGA-AB-2847</w:t>
      </w:r>
      <w:r>
        <w:t>），为下游分析患者生存率提供了关键钥匙。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3. GTEx 正常人对照数据集（单独清洗结果）</w:t>
      </w:r>
    </w:p>
    <w:p>
      <w:pPr>
        <w:pStyle w:val="ListBullet"/>
        <w:spacing w:after="60"/>
        <w:ind w:left="360"/>
      </w:pPr>
      <w:r/>
      <w:r>
        <w:rPr>
          <w:b/>
        </w:rPr>
        <w:t>`gtex_normal_expr_log2tpm.rds`</w:t>
      </w:r>
      <w:r>
        <w:t xml:space="preserve"> &amp; </w:t>
      </w:r>
      <w:r>
        <w:rPr>
          <w:b/>
        </w:rPr>
        <w:t>`gtex_normal_expr_log2tpm.csv`</w:t>
      </w:r>
      <w:r/>
    </w:p>
    <w:p>
      <w:pPr>
        <w:pStyle w:val="ListBullet"/>
        <w:spacing w:after="60"/>
        <w:ind w:left="720"/>
      </w:pPr>
      <w:r/>
      <w:r>
        <w:rPr>
          <w:b/>
        </w:rPr>
        <w:t>解释</w:t>
      </w:r>
      <w:r>
        <w:t>：755 例健康全血样本的 $\log_2(\text{TPM} + 1)$ 表达量矩阵（56,156 基因）。</w:t>
      </w:r>
    </w:p>
    <w:p>
      <w:pPr>
        <w:pStyle w:val="ListBullet"/>
        <w:spacing w:after="60"/>
        <w:ind w:left="360"/>
      </w:pPr>
      <w:r/>
      <w:r>
        <w:rPr>
          <w:b/>
        </w:rPr>
        <w:t>`gtex_normal_sample_info.rds`</w:t>
      </w:r>
      <w:r>
        <w:t xml:space="preserve"> &amp; </w:t>
      </w:r>
      <w:r>
        <w:rPr>
          <w:b/>
        </w:rPr>
        <w:t>`gtex_normal_sample_info.csv`</w:t>
      </w:r>
      <w:r/>
    </w:p>
    <w:p>
      <w:pPr>
        <w:pStyle w:val="ListBullet"/>
        <w:spacing w:after="60"/>
        <w:ind w:left="720"/>
      </w:pPr>
      <w:r/>
      <w:r>
        <w:rPr>
          <w:b/>
        </w:rPr>
        <w:t>解释</w:t>
      </w:r>
      <w:r>
        <w:t>：755 例全血样本的临床属性表，如性别、具体组织等。</w:t>
      </w:r>
    </w:p>
    <w:p>
      <w:pPr>
        <w:pStyle w:val="ListBullet"/>
        <w:spacing w:after="60"/>
        <w:ind w:left="360"/>
      </w:pPr>
      <w:r/>
      <w:r>
        <w:rPr>
          <w:b/>
        </w:rPr>
        <w:t>`gtex_used_tissues.csv`</w:t>
      </w:r>
      <w:r/>
    </w:p>
    <w:p>
      <w:pPr>
        <w:pStyle w:val="ListBullet"/>
        <w:spacing w:after="60"/>
        <w:ind w:left="720"/>
      </w:pPr>
      <w:r/>
      <w:r>
        <w:rPr>
          <w:b/>
        </w:rPr>
        <w:t>解释</w:t>
      </w:r>
      <w:r>
        <w:t>：记录本研究在 GTEx 中实际提取的目标组织日志（</w:t>
      </w:r>
      <w:r>
        <w:rPr>
          <w:rFonts w:ascii="Courier New" w:hAnsi="Courier New"/>
          <w:color w:val="505050"/>
          <w:sz w:val="19"/>
        </w:rPr>
        <w:t>Whole Blood</w:t>
      </w:r>
      <w:r>
        <w:t xml:space="preserve"> 选用，</w:t>
      </w:r>
      <w:r>
        <w:rPr>
          <w:rFonts w:ascii="Courier New" w:hAnsi="Courier New"/>
          <w:color w:val="505050"/>
          <w:sz w:val="19"/>
        </w:rPr>
        <w:t>Bone Marrow</w:t>
      </w:r>
      <w:r>
        <w:t xml:space="preserve"> 未选用）。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4. GSE13159 独立验证集数据（用于最后验证候选基因）</w:t>
      </w:r>
    </w:p>
    <w:p>
      <w:pPr>
        <w:pStyle w:val="ListBullet"/>
        <w:spacing w:after="60"/>
        <w:ind w:left="360"/>
      </w:pPr>
      <w:r/>
      <w:r>
        <w:rPr>
          <w:b/>
        </w:rPr>
        <w:t>`gse13159_expr_clean.rds`</w:t>
      </w:r>
      <w:r>
        <w:t xml:space="preserve"> &amp; </w:t>
      </w:r>
      <w:r>
        <w:rPr>
          <w:b/>
        </w:rPr>
        <w:t>`gse13159_expr_clean.csv`</w:t>
      </w:r>
      <w:r/>
    </w:p>
    <w:p>
      <w:pPr>
        <w:pStyle w:val="ListBullet"/>
        <w:spacing w:after="60"/>
        <w:ind w:left="720"/>
      </w:pPr>
      <w:r/>
      <w:r>
        <w:rPr>
          <w:b/>
        </w:rPr>
        <w:t>解释</w:t>
      </w:r>
      <w:r>
        <w:t>：探针映射及均值合并后的基因级表达量矩阵（</w:t>
      </w:r>
      <w:r>
        <w:rPr>
          <w:b/>
        </w:rPr>
        <w:t>21,755 基因 × 2,096 样本</w:t>
      </w:r>
      <w:r>
        <w:t>）。行名为 Gene Symbol。</w:t>
      </w:r>
    </w:p>
    <w:p>
      <w:pPr>
        <w:pStyle w:val="ListBullet"/>
        <w:spacing w:after="60"/>
        <w:ind w:left="360"/>
      </w:pPr>
      <w:r/>
      <w:r>
        <w:rPr>
          <w:b/>
        </w:rPr>
        <w:t>`gse13159_sample_info.rds`</w:t>
      </w:r>
      <w:r>
        <w:t xml:space="preserve"> &amp; </w:t>
      </w:r>
      <w:r>
        <w:rPr>
          <w:b/>
        </w:rPr>
        <w:t>`gse13159_sample_info.csv`</w:t>
      </w:r>
      <w:r/>
    </w:p>
    <w:p>
      <w:pPr>
        <w:pStyle w:val="ListBullet"/>
        <w:spacing w:after="60"/>
        <w:ind w:left="720"/>
      </w:pPr>
      <w:r/>
      <w:r>
        <w:rPr>
          <w:b/>
        </w:rPr>
        <w:t>解释</w:t>
      </w:r>
      <w:r>
        <w:t xml:space="preserve">：2,096 例样本的完整表型信息。包含我们通过正则匹配清洗出的 </w:t>
      </w:r>
      <w:r>
        <w:rPr>
          <w:rFonts w:ascii="Courier New" w:hAnsi="Courier New"/>
          <w:color w:val="505050"/>
          <w:sz w:val="19"/>
        </w:rPr>
        <w:t>group</w:t>
      </w:r>
      <w:r>
        <w:t xml:space="preserve"> 分组（</w:t>
      </w:r>
      <w:r>
        <w:rPr>
          <w:b/>
        </w:rPr>
        <w:t>542 例 AML</w:t>
      </w:r>
      <w:r>
        <w:t>，</w:t>
      </w:r>
      <w:r>
        <w:rPr>
          <w:b/>
        </w:rPr>
        <w:t>74 例 Normal</w:t>
      </w:r>
      <w:r>
        <w:t>，</w:t>
      </w:r>
      <w:r>
        <w:rPr>
          <w:b/>
        </w:rPr>
        <w:t>1,480 例 Other</w:t>
      </w:r>
      <w:r>
        <w:t>）。</w:t>
      </w:r>
    </w:p>
    <w:p>
      <w:pPr>
        <w:pStyle w:val="ListBullet"/>
        <w:spacing w:after="60"/>
        <w:ind w:left="360"/>
      </w:pPr>
      <w:r/>
      <w:r>
        <w:rPr>
          <w:b/>
        </w:rPr>
        <w:t>`gse13159_transformation_note.txt`</w:t>
      </w:r>
      <w:r/>
    </w:p>
    <w:p>
      <w:pPr>
        <w:pStyle w:val="ListBullet"/>
        <w:spacing w:after="60"/>
        <w:ind w:left="720"/>
      </w:pPr>
      <w:r/>
      <w:r>
        <w:rPr>
          <w:b/>
        </w:rPr>
        <w:t>解释</w:t>
      </w:r>
      <w:r>
        <w:t xml:space="preserve">：一段文本文档，说明经 Range 检测该芯片原值已是 log2 尺度，因此标记为 </w:t>
      </w:r>
      <w:r>
        <w:rPr>
          <w:rFonts w:ascii="Courier New" w:hAnsi="Courier New"/>
          <w:color w:val="505050"/>
          <w:sz w:val="19"/>
        </w:rPr>
        <w:t>kept original GEO processed values</w:t>
      </w:r>
      <w:r>
        <w:t>（保留原值）。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三、 核心生信逻辑解析：为什么这么做？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1. 为什么 GTEx 数据库中只保留了全血，没有选用骨髓？</w:t>
      </w:r>
    </w:p>
    <w:p>
      <w:pPr>
        <w:pStyle w:val="ListBullet"/>
        <w:spacing w:after="60"/>
        <w:ind w:left="360"/>
      </w:pPr>
      <w:r/>
      <w:r>
        <w:rPr>
          <w:b/>
        </w:rPr>
        <w:t>GTEx 没有正常人的骨髓测序</w:t>
      </w:r>
      <w:r>
        <w:t xml:space="preserve">：GTEx V8 版本中，虽然登记有“骨髓（Bone Marrow）”这一组织，但其登记的 217 例样本实际全部是 </w:t>
      </w:r>
      <w:r>
        <w:rPr>
          <w:b/>
        </w:rPr>
        <w:t>K-562 慢性髓系白血病细胞系</w:t>
      </w:r>
      <w:r>
        <w:t xml:space="preserve">。它们是癌症细胞，且被官方标为 </w:t>
      </w:r>
      <w:r>
        <w:rPr>
          <w:rFonts w:ascii="Courier New" w:hAnsi="Courier New"/>
          <w:color w:val="505050"/>
          <w:sz w:val="19"/>
        </w:rPr>
        <w:t>EXCLUDE</w:t>
      </w:r>
      <w:r>
        <w:t xml:space="preserve"> 排除。GTEx 并没有对真正的健康人骨髓进行 bulk RNA-Seq 测序。</w:t>
      </w:r>
    </w:p>
    <w:p>
      <w:pPr>
        <w:pStyle w:val="ListBullet"/>
        <w:spacing w:after="60"/>
        <w:ind w:left="360"/>
      </w:pPr>
      <w:r/>
      <w:r>
        <w:rPr>
          <w:b/>
        </w:rPr>
        <w:t>学术界的常规替代方案</w:t>
      </w:r>
      <w:r>
        <w:t>：在没有正常骨髓对照的情况下，使用 GTEx 的健康全血（Whole Blood）样本作为非肿瘤对照，是业内公认且普遍的做法。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2. 为什么对表达量做 $\log_2(\text{TPM} + 1)$ 对数化？</w:t>
      </w:r>
    </w:p>
    <w:p>
      <w:pPr>
        <w:pStyle w:val="ListBullet"/>
        <w:spacing w:after="60"/>
        <w:ind w:left="360"/>
      </w:pPr>
      <w:r/>
      <w:r>
        <w:rPr>
          <w:b/>
        </w:rPr>
        <w:t>正态化</w:t>
      </w:r>
      <w:r>
        <w:t>：原始 TPM 跨度从 0 到数十万，呈极度右偏态。取 log 可以将数据拉回正态分布，以满足后续统计检验（如 t 检验、</w:t>
      </w:r>
      <w:r>
        <w:rPr>
          <w:rFonts w:ascii="Courier New" w:hAnsi="Courier New"/>
          <w:color w:val="505050"/>
          <w:sz w:val="19"/>
        </w:rPr>
        <w:t>limma</w:t>
      </w:r>
      <w:r>
        <w:t xml:space="preserve"> 线性模型）的前提条件。</w:t>
      </w:r>
    </w:p>
    <w:p>
      <w:pPr>
        <w:pStyle w:val="ListBullet"/>
        <w:spacing w:after="60"/>
        <w:ind w:left="360"/>
      </w:pPr>
      <w:r/>
      <w:r>
        <w:rPr>
          <w:b/>
        </w:rPr>
        <w:t>稳定方差</w:t>
      </w:r>
      <w:r>
        <w:t>：消除“均值-方差依赖”现象，避免方差极大的少数超高表达基因完全主导差异分析或聚类分析。</w:t>
      </w:r>
    </w:p>
    <w:p>
      <w:pPr>
        <w:pStyle w:val="ListBullet"/>
        <w:spacing w:after="60"/>
        <w:ind w:left="360"/>
      </w:pPr>
      <w:r/>
      <w:r>
        <w:rPr>
          <w:b/>
        </w:rPr>
        <w:t>符合生物学直觉的“倍数变化（Fold Change）”</w:t>
      </w:r>
      <w:r>
        <w:t>：在 $\log_2$ 尺度下，两样本的差值 $1$ 就代表表达量翻了 $2$ 倍（$2^1 = 2$），差值 $2$ 代表翻了 $4$ 倍，差值 $-1$ 代表表达量减半。这使统计倍数变化变得极其简便。</w:t>
      </w:r>
    </w:p>
    <w:p>
      <w:pPr>
        <w:pStyle w:val="ListBullet"/>
        <w:spacing w:after="60"/>
        <w:ind w:left="360"/>
      </w:pPr>
      <w:r/>
      <w:r>
        <w:rPr>
          <w:b/>
        </w:rPr>
        <w:t>为什么加 1</w:t>
      </w:r>
      <w:r>
        <w:t>：由于许多基因表达量为 $0$，而 $\log_2(0)$ 在数学上是无意义的。通过加 $1$（即伪计数），使得 $0$ 值被安全映射为 $0$（$\log_2(1) = 0$），避免了报错。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3. 在求交集对齐时，如何确保两数据库匹配的是同一个基因？</w:t>
      </w:r>
    </w:p>
    <w:p>
      <w:pPr>
        <w:pStyle w:val="ListBullet"/>
        <w:spacing w:after="60"/>
        <w:ind w:left="360"/>
      </w:pPr>
      <w:r/>
      <w:r>
        <w:rPr>
          <w:b/>
        </w:rPr>
        <w:t>使用 Ensembl ID 身份证</w:t>
      </w:r>
      <w:r>
        <w:t xml:space="preserve">：我们没有使用存在一词多义、别名滞后问题的 Gene Symbol（基因名），而是统一使用了国际公认、在物理基因组位置上唯一确定的 </w:t>
      </w:r>
      <w:r>
        <w:rPr>
          <w:b/>
        </w:rPr>
        <w:t>Ensembl ID</w:t>
      </w:r>
      <w:r>
        <w:t>。</w:t>
      </w:r>
    </w:p>
    <w:p>
      <w:pPr>
        <w:pStyle w:val="ListBullet"/>
        <w:spacing w:after="60"/>
        <w:ind w:left="360"/>
      </w:pPr>
      <w:r/>
      <w:r>
        <w:rPr>
          <w:b/>
        </w:rPr>
        <w:t>去版本号对齐</w:t>
      </w:r>
      <w:r>
        <w:t xml:space="preserve">：TCGA 采用 Gencode v36 注释，GTEx 采用 Gencode v26 注释，导致它们的 Ensembl ID 后缀版本号不同（如 </w:t>
      </w:r>
      <w:r>
        <w:rPr>
          <w:rFonts w:ascii="Courier New" w:hAnsi="Courier New"/>
          <w:color w:val="505050"/>
          <w:sz w:val="19"/>
        </w:rPr>
        <w:t>.15</w:t>
      </w:r>
      <w:r>
        <w:t xml:space="preserve"> vs </w:t>
      </w:r>
      <w:r>
        <w:rPr>
          <w:rFonts w:ascii="Courier New" w:hAnsi="Courier New"/>
          <w:color w:val="505050"/>
          <w:sz w:val="19"/>
        </w:rPr>
        <w:t>.14</w:t>
      </w:r>
      <w:r>
        <w:t xml:space="preserve">）。我们通过正则剥离了版本后缀（如统一化为 </w:t>
      </w:r>
      <w:r>
        <w:rPr>
          <w:rFonts w:ascii="Courier New" w:hAnsi="Courier New"/>
          <w:color w:val="505050"/>
          <w:sz w:val="19"/>
        </w:rPr>
        <w:t>ENSG00000000003</w:t>
      </w:r>
      <w:r>
        <w:t xml:space="preserve">），消除了由于基因组版本更新带来的匹配障碍，使得 </w:t>
      </w:r>
      <w:r>
        <w:rPr>
          <w:b/>
        </w:rPr>
        <w:t>55,617</w:t>
      </w:r>
      <w:r>
        <w:t xml:space="preserve"> 个共有基因能够完美对齐。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四、 下游分析路线图：这批数据以后怎么使用？</w:t>
      </w:r>
    </w:p>
    <w:p>
      <w:pPr>
        <w:spacing w:after="120" w:line="276" w:lineRule="auto"/>
      </w:pPr>
      <w:r>
        <w:t>这批干净数据将在后续研究中通过以下步骤进行科学挖掘：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去批次效应（Batch Effect Removal）</w:t>
      </w:r>
      <w:r>
        <w:t xml:space="preserve">：由于 TCGA 和 GTEx 测序平台不同，我们将用 PCA 降维绘图可视化批次偏差，并使用 R 包 </w:t>
      </w:r>
      <w:r>
        <w:rPr>
          <w:rFonts w:ascii="Courier New" w:hAnsi="Courier New"/>
          <w:color w:val="505050"/>
          <w:sz w:val="19"/>
        </w:rPr>
        <w:t>sva::ComBat</w:t>
      </w:r>
      <w:r>
        <w:t xml:space="preserve"> 或 </w:t>
      </w:r>
      <w:r>
        <w:rPr>
          <w:rFonts w:ascii="Courier New" w:hAnsi="Courier New"/>
          <w:color w:val="505050"/>
          <w:sz w:val="19"/>
        </w:rPr>
        <w:t>limma::removeBatchEffect</w:t>
      </w:r>
      <w:r>
        <w:t xml:space="preserve"> 进行校正，保证两组样本具有生物学可比性。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差异基因分析</w:t>
      </w:r>
      <w:r>
        <w:t xml:space="preserve">：使用 </w:t>
      </w:r>
      <w:r>
        <w:rPr>
          <w:rFonts w:ascii="Courier New" w:hAnsi="Courier New"/>
          <w:color w:val="505050"/>
          <w:sz w:val="19"/>
        </w:rPr>
        <w:t>limma</w:t>
      </w:r>
      <w:r>
        <w:t xml:space="preserve"> 对去批次后的发现集进行差异分析，以 </w:t>
      </w:r>
      <w:r>
        <w:rPr>
          <w:rFonts w:ascii="Courier New" w:hAnsi="Courier New"/>
          <w:color w:val="505050"/>
          <w:sz w:val="19"/>
        </w:rPr>
        <w:t>AML</w:t>
      </w:r>
      <w:r>
        <w:t xml:space="preserve"> vs </w:t>
      </w:r>
      <w:r>
        <w:rPr>
          <w:rFonts w:ascii="Courier New" w:hAnsi="Courier New"/>
          <w:color w:val="505050"/>
          <w:sz w:val="19"/>
        </w:rPr>
        <w:t>Normal</w:t>
      </w:r>
      <w:r>
        <w:t xml:space="preserve"> 为分组，设定 $|\log_2\text{FC}| &gt; 1.5$ 且 $P &lt; 0.05$ 筛选出 AML 特异性差异表达基因（DEGs）。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特征工程与建模</w:t>
      </w:r>
      <w:r>
        <w:t>：在发现集差异基因中，利用 LASSO 回归等算法，精简出 5-10 个关键特征基因，构建白血病的诊断分类器。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外部独立验证</w:t>
      </w:r>
      <w:r>
        <w:t xml:space="preserve">：在验证集 </w:t>
      </w:r>
      <w:r>
        <w:rPr>
          <w:rFonts w:ascii="Courier New" w:hAnsi="Courier New"/>
          <w:color w:val="505050"/>
          <w:sz w:val="19"/>
        </w:rPr>
        <w:t>gse13159_expr_clean.rds</w:t>
      </w:r>
      <w:r>
        <w:t xml:space="preserve"> 中，提取这 5-10 个特征基因，绘制 AML（542例）对健康对照（74例）的表达量箱线图及 ROC 预测曲线，验证模型的泛化能力。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