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Arial" w:hAnsi="Arial"/>
          <w:b/>
          <w:color w:val="1F4E79"/>
          <w:sz w:val="36"/>
        </w:rPr>
        <w:t>Week 5 项目描述与靶点分析手册：AML 通路富集分析与可靶性成药优先筛查</w:t>
      </w:r>
    </w:p>
    <w:p>
      <w:pPr>
        <w:spacing w:after="120" w:line="276" w:lineRule="auto"/>
      </w:pPr>
      <w:r>
        <w:t>本手册旨在详细记录 Week 5 的工作内容、各分析脚本的作用、清理后最终产出文件的具体含义，以及通路富集生物学机制与潜在新靶点成药前景（含 PubMed 文献证据）的深度解析。它可以作为您向导师进行阶段性研究汇报的完整底稿。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一、 本周工作总结：我干了什么？</w:t>
      </w:r>
    </w:p>
    <w:p>
      <w:pPr>
        <w:spacing w:after="120" w:line="276" w:lineRule="auto"/>
      </w:pPr>
      <w:r>
        <w:t xml:space="preserve">本周完成了 </w:t>
      </w:r>
      <w:r>
        <w:rPr>
          <w:b/>
        </w:rPr>
        <w:t>106 个安全差异基因与 13 个预后危险基因的 GO/KEGG 富集分析、已知临床靶点数据库比对与差集筛选、以及基于细胞亚细胞定位和生存危害性的潜在新靶点优先级评估（Druggability Score Card）与 PubMed 文献证据挖掘</w:t>
      </w:r>
      <w:r>
        <w:t>。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通路富集分析管道搭建</w:t>
      </w:r>
      <w:r>
        <w:t>：</w:t>
      </w:r>
    </w:p>
    <w:p>
      <w:pPr>
        <w:pStyle w:val="ListBullet"/>
        <w:spacing w:after="60"/>
        <w:ind w:left="720"/>
      </w:pPr>
      <w:r>
        <w:t xml:space="preserve">编写并运行了 </w:t>
      </w:r>
      <w:r>
        <w:rPr>
          <w:rFonts w:ascii="Courier New" w:hAnsi="Courier New"/>
          <w:color w:val="505050"/>
          <w:sz w:val="19"/>
        </w:rPr>
        <w:t>scripts/08_pathway_enrichment.R</w:t>
      </w:r>
      <w:r>
        <w:t>。</w:t>
      </w:r>
    </w:p>
    <w:p>
      <w:pPr>
        <w:pStyle w:val="ListBullet"/>
        <w:spacing w:after="60"/>
        <w:ind w:left="720"/>
      </w:pPr>
      <w:r>
        <w:t xml:space="preserve">使用 </w:t>
      </w:r>
      <w:r>
        <w:rPr>
          <w:rFonts w:ascii="Courier New" w:hAnsi="Courier New"/>
          <w:color w:val="505050"/>
          <w:sz w:val="19"/>
        </w:rPr>
        <w:t>clusterProfiler</w:t>
      </w:r>
      <w:r>
        <w:t xml:space="preserve"> 将基因符号对齐映射为 Entrez ID。</w:t>
      </w:r>
    </w:p>
    <w:p>
      <w:pPr>
        <w:pStyle w:val="ListBullet"/>
        <w:spacing w:after="60"/>
        <w:ind w:left="720"/>
      </w:pPr>
      <w:r>
        <w:t xml:space="preserve">独立运行了 </w:t>
      </w:r>
      <w:r>
        <w:rPr>
          <w:b/>
        </w:rPr>
        <w:t>GO（Biological Process 进程）</w:t>
      </w:r>
      <w:r>
        <w:t xml:space="preserve"> 和 </w:t>
      </w:r>
      <w:r>
        <w:rPr>
          <w:b/>
        </w:rPr>
        <w:t>KEGG 通路</w:t>
      </w:r>
      <w:r>
        <w:t xml:space="preserve"> 的超几何富集分析，并输出了对应的富集显著性结果表（FDR &lt; 0.05）。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已知临床靶点屏蔽与“潜在新靶点”提取</w:t>
      </w:r>
      <w:r>
        <w:t>：</w:t>
      </w:r>
    </w:p>
    <w:p>
      <w:pPr>
        <w:pStyle w:val="ListBullet"/>
        <w:spacing w:after="60"/>
        <w:ind w:left="720"/>
      </w:pPr>
      <w:r>
        <w:t>整理了目前在 AML 临床研发或已上市药物的</w:t>
      </w:r>
      <w:r>
        <w:rPr>
          <w:b/>
        </w:rPr>
        <w:t>已知经典靶点清单</w:t>
      </w:r>
      <w:r>
        <w:t xml:space="preserve">（包含 </w:t>
      </w:r>
      <w:r>
        <w:rPr>
          <w:rFonts w:ascii="Courier New" w:hAnsi="Courier New"/>
          <w:color w:val="505050"/>
          <w:sz w:val="19"/>
        </w:rPr>
        <w:t>CD33</w:t>
      </w:r>
      <w:r>
        <w:t xml:space="preserve">, </w:t>
      </w:r>
      <w:r>
        <w:rPr>
          <w:rFonts w:ascii="Courier New" w:hAnsi="Courier New"/>
          <w:color w:val="505050"/>
          <w:sz w:val="19"/>
        </w:rPr>
        <w:t>IL3RA</w:t>
      </w:r>
      <w:r>
        <w:t xml:space="preserve">/CD123, </w:t>
      </w:r>
      <w:r>
        <w:rPr>
          <w:rFonts w:ascii="Courier New" w:hAnsi="Courier New"/>
          <w:color w:val="505050"/>
          <w:sz w:val="19"/>
        </w:rPr>
        <w:t>FLT3</w:t>
      </w:r>
      <w:r>
        <w:t xml:space="preserve">, </w:t>
      </w:r>
      <w:r>
        <w:rPr>
          <w:rFonts w:ascii="Courier New" w:hAnsi="Courier New"/>
          <w:color w:val="505050"/>
          <w:sz w:val="19"/>
        </w:rPr>
        <w:t>BCL2</w:t>
      </w:r>
      <w:r>
        <w:t xml:space="preserve">, </w:t>
      </w:r>
      <w:r>
        <w:rPr>
          <w:rFonts w:ascii="Courier New" w:hAnsi="Courier New"/>
          <w:color w:val="505050"/>
          <w:sz w:val="19"/>
        </w:rPr>
        <w:t>IDH1</w:t>
      </w:r>
      <w:r>
        <w:t xml:space="preserve">, </w:t>
      </w:r>
      <w:r>
        <w:rPr>
          <w:rFonts w:ascii="Courier New" w:hAnsi="Courier New"/>
          <w:color w:val="505050"/>
          <w:sz w:val="19"/>
        </w:rPr>
        <w:t>IDH2</w:t>
      </w:r>
      <w:r>
        <w:t xml:space="preserve">, </w:t>
      </w:r>
      <w:r>
        <w:rPr>
          <w:rFonts w:ascii="Courier New" w:hAnsi="Courier New"/>
          <w:color w:val="505050"/>
          <w:sz w:val="19"/>
        </w:rPr>
        <w:t>KIT</w:t>
      </w:r>
      <w:r>
        <w:t xml:space="preserve">, </w:t>
      </w:r>
      <w:r>
        <w:rPr>
          <w:rFonts w:ascii="Courier New" w:hAnsi="Courier New"/>
          <w:color w:val="505050"/>
          <w:sz w:val="19"/>
        </w:rPr>
        <w:t>CD47</w:t>
      </w:r>
      <w:r>
        <w:t xml:space="preserve">, </w:t>
      </w:r>
      <w:r>
        <w:rPr>
          <w:rFonts w:ascii="Courier New" w:hAnsi="Courier New"/>
          <w:color w:val="505050"/>
          <w:sz w:val="19"/>
        </w:rPr>
        <w:t>HAVCR2</w:t>
      </w:r>
      <w:r>
        <w:t xml:space="preserve">/TIM3, </w:t>
      </w:r>
      <w:r>
        <w:rPr>
          <w:rFonts w:ascii="Courier New" w:hAnsi="Courier New"/>
          <w:color w:val="505050"/>
          <w:sz w:val="19"/>
        </w:rPr>
        <w:t>WT1</w:t>
      </w:r>
      <w:r>
        <w:t xml:space="preserve">, </w:t>
      </w:r>
      <w:r>
        <w:rPr>
          <w:rFonts w:ascii="Courier New" w:hAnsi="Courier New"/>
          <w:color w:val="505050"/>
          <w:sz w:val="19"/>
        </w:rPr>
        <w:t>KMT2A</w:t>
      </w:r>
      <w:r>
        <w:t xml:space="preserve">, </w:t>
      </w:r>
      <w:r>
        <w:rPr>
          <w:rFonts w:ascii="Courier New" w:hAnsi="Courier New"/>
          <w:color w:val="505050"/>
          <w:sz w:val="19"/>
        </w:rPr>
        <w:t>TP53</w:t>
      </w:r>
      <w:r>
        <w:t xml:space="preserve">, </w:t>
      </w:r>
      <w:r>
        <w:rPr>
          <w:rFonts w:ascii="Courier New" w:hAnsi="Courier New"/>
          <w:color w:val="505050"/>
          <w:sz w:val="19"/>
        </w:rPr>
        <w:t>CD38</w:t>
      </w:r>
      <w:r>
        <w:t xml:space="preserve">, </w:t>
      </w:r>
      <w:r>
        <w:rPr>
          <w:rFonts w:ascii="Courier New" w:hAnsi="Courier New"/>
          <w:color w:val="505050"/>
          <w:sz w:val="19"/>
        </w:rPr>
        <w:t>NPM1</w:t>
      </w:r>
      <w:r>
        <w:t>）。</w:t>
      </w:r>
    </w:p>
    <w:p>
      <w:pPr>
        <w:pStyle w:val="ListBullet"/>
        <w:spacing w:after="60"/>
        <w:ind w:left="720"/>
      </w:pPr>
      <w:r>
        <w:t xml:space="preserve">将我们候选靶点与之比对，剔除已知的经典靶点，成功筛选出 </w:t>
      </w:r>
      <w:r>
        <w:rPr>
          <w:b/>
        </w:rPr>
        <w:t>28 个未在 AML 临床靶向药物中被广泛报道的潜在新靶点</w:t>
      </w:r>
      <w:r>
        <w:t>。</w:t>
      </w:r>
    </w:p>
    <w:p>
      <w:pPr>
        <w:spacing w:after="120" w:line="276" w:lineRule="auto"/>
      </w:pPr>
      <w:r>
        <w:t xml:space="preserve">3. </w:t>
      </w:r>
      <w:r>
        <w:rPr>
          <w:b/>
        </w:rPr>
        <w:t>可靶性优先级打分（Priority Score Card）与 Top 15 筛选</w:t>
      </w:r>
      <w:r>
        <w:t>：</w:t>
      </w:r>
    </w:p>
    <w:p>
      <w:pPr>
        <w:pStyle w:val="ListBullet"/>
        <w:spacing w:after="60"/>
        <w:ind w:left="720"/>
      </w:pPr>
      <w:r>
        <w:t>从</w:t>
      </w:r>
      <w:r>
        <w:rPr>
          <w:b/>
        </w:rPr>
        <w:t>亚细胞定位</w:t>
      </w:r>
      <w:r>
        <w:t>（Plasma Membrane 质膜蛋白与 Secreted 分泌蛋白在免疫疗法中具备高成药性）、</w:t>
      </w:r>
      <w:r>
        <w:rPr>
          <w:b/>
        </w:rPr>
        <w:t>生存期危害度</w:t>
      </w:r>
      <w:r>
        <w:t>（$\text{HR} &gt; 1.5, P &lt; 0.05$）以及</w:t>
      </w:r>
      <w:r>
        <w:rPr>
          <w:b/>
        </w:rPr>
        <w:t>表达变化倍数</w:t>
      </w:r>
      <w:r>
        <w:t>等维度构建了优先级评估模型。</w:t>
      </w:r>
    </w:p>
    <w:p>
      <w:pPr>
        <w:pStyle w:val="ListBullet"/>
        <w:spacing w:after="60"/>
        <w:ind w:left="720"/>
      </w:pPr>
      <w:r>
        <w:t xml:space="preserve">精选出 </w:t>
      </w:r>
      <w:r>
        <w:rPr>
          <w:b/>
        </w:rPr>
        <w:t>15 个高优先级的新靶点</w:t>
      </w:r>
      <w:r>
        <w:t xml:space="preserve">（包含 </w:t>
      </w:r>
      <w:r>
        <w:rPr>
          <w:rFonts w:ascii="Courier New" w:hAnsi="Courier New"/>
          <w:color w:val="505050"/>
          <w:sz w:val="19"/>
        </w:rPr>
        <w:t>GZMB</w:t>
      </w:r>
      <w:r>
        <w:t>、</w:t>
      </w:r>
      <w:r>
        <w:rPr>
          <w:rFonts w:ascii="Courier New" w:hAnsi="Courier New"/>
          <w:color w:val="505050"/>
          <w:sz w:val="19"/>
        </w:rPr>
        <w:t>CD14</w:t>
      </w:r>
      <w:r>
        <w:t>、</w:t>
      </w:r>
      <w:r>
        <w:rPr>
          <w:rFonts w:ascii="Courier New" w:hAnsi="Courier New"/>
          <w:color w:val="505050"/>
          <w:sz w:val="19"/>
        </w:rPr>
        <w:t>SLC15A3</w:t>
      </w:r>
      <w:r>
        <w:t>、</w:t>
      </w:r>
      <w:r>
        <w:rPr>
          <w:rFonts w:ascii="Courier New" w:hAnsi="Courier New"/>
          <w:color w:val="505050"/>
          <w:sz w:val="19"/>
        </w:rPr>
        <w:t>FPR2</w:t>
      </w:r>
      <w:r>
        <w:t>、</w:t>
      </w:r>
      <w:r>
        <w:rPr>
          <w:rFonts w:ascii="Courier New" w:hAnsi="Courier New"/>
          <w:color w:val="505050"/>
          <w:sz w:val="19"/>
        </w:rPr>
        <w:t>CMTM2</w:t>
      </w:r>
      <w:r>
        <w:t>、</w:t>
      </w:r>
      <w:r>
        <w:rPr>
          <w:rFonts w:ascii="Courier New" w:hAnsi="Courier New"/>
          <w:color w:val="505050"/>
          <w:sz w:val="19"/>
        </w:rPr>
        <w:t>CXCR2</w:t>
      </w:r>
      <w:r>
        <w:t>、</w:t>
      </w:r>
      <w:r>
        <w:rPr>
          <w:rFonts w:ascii="Courier New" w:hAnsi="Courier New"/>
          <w:color w:val="505050"/>
          <w:sz w:val="19"/>
        </w:rPr>
        <w:t>VNN2</w:t>
      </w:r>
      <w:r>
        <w:t>、</w:t>
      </w:r>
      <w:r>
        <w:rPr>
          <w:rFonts w:ascii="Courier New" w:hAnsi="Courier New"/>
          <w:color w:val="505050"/>
          <w:sz w:val="19"/>
        </w:rPr>
        <w:t>IL1R2</w:t>
      </w:r>
      <w:r>
        <w:t>、</w:t>
      </w:r>
      <w:r>
        <w:rPr>
          <w:rFonts w:ascii="Courier New" w:hAnsi="Courier New"/>
          <w:color w:val="505050"/>
          <w:sz w:val="19"/>
        </w:rPr>
        <w:t>CXCR1</w:t>
      </w:r>
      <w:r>
        <w:t xml:space="preserve"> 等细胞膜/分泌型靶点）。</w:t>
      </w:r>
    </w:p>
    <w:p>
      <w:pPr>
        <w:spacing w:after="120" w:line="276" w:lineRule="auto"/>
      </w:pPr>
      <w:r>
        <w:t xml:space="preserve">4. </w:t>
      </w:r>
      <w:r>
        <w:rPr>
          <w:b/>
        </w:rPr>
        <w:t>PubMed 文献证据检索</w:t>
      </w:r>
      <w:r>
        <w:t>：</w:t>
      </w:r>
    </w:p>
    <w:p>
      <w:pPr>
        <w:pStyle w:val="ListBullet"/>
        <w:spacing w:after="60"/>
        <w:ind w:left="720"/>
      </w:pPr>
      <w:r>
        <w:t>针对筛选出的高优先级靶点，快速进行了 PubMed 检索，确立了它们在肿瘤微环境重塑、免疫逃逸和白血病细胞增殖中的潜在致病机制，强化了立项合理性。</w:t>
      </w:r>
    </w:p>
    <w:p>
      <w:pPr>
        <w:spacing w:after="120" w:line="276" w:lineRule="auto"/>
      </w:pPr>
      <w:r>
        <w:t xml:space="preserve">5. </w:t>
      </w:r>
      <w:r>
        <w:rPr>
          <w:b/>
        </w:rPr>
        <w:t>创建归档 Week5 文件夹</w:t>
      </w:r>
      <w:r>
        <w:t>：</w:t>
      </w:r>
    </w:p>
    <w:p>
      <w:pPr>
        <w:pStyle w:val="ListBullet"/>
        <w:spacing w:after="60"/>
        <w:ind w:left="720"/>
      </w:pPr>
      <w:r>
        <w:t>将潜在新靶点列表（</w:t>
      </w:r>
      <w:r>
        <w:rPr>
          <w:rFonts w:ascii="Courier New" w:hAnsi="Courier New"/>
          <w:color w:val="505050"/>
          <w:sz w:val="19"/>
        </w:rPr>
        <w:t>.csv</w:t>
      </w:r>
      <w:r>
        <w:t>）以及 GO/KEGG 富集气泡图（</w:t>
      </w:r>
      <w:r>
        <w:rPr>
          <w:rFonts w:ascii="Courier New" w:hAnsi="Courier New"/>
          <w:color w:val="505050"/>
          <w:sz w:val="19"/>
        </w:rPr>
        <w:t>.png</w:t>
      </w:r>
      <w:r>
        <w:t xml:space="preserve">）拷贝并归档于 </w:t>
      </w:r>
      <w:r>
        <w:rPr>
          <w:rFonts w:ascii="Courier New" w:hAnsi="Courier New"/>
          <w:color w:val="505050"/>
          <w:sz w:val="19"/>
        </w:rPr>
        <w:t>Week5/</w:t>
      </w:r>
      <w:r>
        <w:t>，并将所有改动推送至远程 GitHub 仓库。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二、 最终输出文件与图表解析：保留的都是什么？</w:t>
      </w:r>
    </w:p>
    <w:p>
      <w:pPr>
        <w:spacing w:after="120" w:line="276" w:lineRule="auto"/>
      </w:pPr>
      <w:r>
        <w:t xml:space="preserve">在 </w:t>
      </w:r>
      <w:r>
        <w:rPr>
          <w:rFonts w:ascii="Courier New" w:hAnsi="Courier New"/>
          <w:color w:val="505050"/>
          <w:sz w:val="19"/>
        </w:rPr>
        <w:t>Week5/</w:t>
      </w:r>
      <w:r>
        <w:t xml:space="preserve"> 文件夹下，我们归档了以下核心交付成果：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1. 潜在新靶点优先级列表</w:t>
      </w:r>
    </w:p>
    <w:p>
      <w:pPr>
        <w:pStyle w:val="ListBullet"/>
        <w:spacing w:after="60"/>
        <w:ind w:left="360"/>
      </w:pPr>
      <w:r/>
      <w:r>
        <w:rPr>
          <w:b/>
        </w:rPr>
        <w:t>`potential_novel_targets_list.csv`</w:t>
      </w:r>
      <w:r/>
    </w:p>
    <w:p>
      <w:pPr>
        <w:pStyle w:val="ListBullet"/>
        <w:spacing w:after="60"/>
        <w:ind w:left="720"/>
      </w:pPr>
      <w:r/>
      <w:r>
        <w:rPr>
          <w:b/>
        </w:rPr>
        <w:t>定义</w:t>
      </w:r>
      <w:r>
        <w:t>：剔除 14 个已知临床靶点后，根据可靶性打分筛选出的未报道新型候选靶点表。</w:t>
      </w:r>
    </w:p>
    <w:p>
      <w:pPr>
        <w:pStyle w:val="ListBullet"/>
        <w:spacing w:after="60"/>
        <w:ind w:left="720"/>
      </w:pPr>
      <w:r/>
      <w:r>
        <w:rPr>
          <w:b/>
        </w:rPr>
        <w:t>核心字段</w:t>
      </w:r>
      <w:r>
        <w:t>：</w:t>
      </w:r>
      <w:r>
        <w:rPr>
          <w:rFonts w:ascii="Courier New" w:hAnsi="Courier New"/>
          <w:color w:val="505050"/>
          <w:sz w:val="19"/>
        </w:rPr>
        <w:t>subcellular_localization</w:t>
      </w:r>
      <w:r>
        <w:t>（定位）、</w:t>
      </w:r>
      <w:r>
        <w:rPr>
          <w:rFonts w:ascii="Courier New" w:hAnsi="Courier New"/>
          <w:color w:val="505050"/>
          <w:sz w:val="19"/>
        </w:rPr>
        <w:t>modality_category</w:t>
      </w:r>
      <w:r>
        <w:t>（推荐药物类型：抗体/CAR-T 或小分子）、</w:t>
      </w:r>
      <w:r>
        <w:rPr>
          <w:rFonts w:ascii="Courier New" w:hAnsi="Courier New"/>
          <w:color w:val="505050"/>
          <w:sz w:val="19"/>
        </w:rPr>
        <w:t>logFC_discovery</w:t>
      </w:r>
      <w:r>
        <w:t>（上调倍数）、</w:t>
      </w:r>
      <w:r>
        <w:rPr>
          <w:rFonts w:ascii="Courier New" w:hAnsi="Courier New"/>
          <w:color w:val="505050"/>
          <w:sz w:val="19"/>
        </w:rPr>
        <w:t>survival_HR</w:t>
      </w:r>
      <w:r>
        <w:t>（生存风险比）、</w:t>
      </w:r>
      <w:r>
        <w:rPr>
          <w:rFonts w:ascii="Courier New" w:hAnsi="Courier New"/>
          <w:color w:val="505050"/>
          <w:sz w:val="19"/>
        </w:rPr>
        <w:t>priority_score</w:t>
      </w:r>
      <w:r>
        <w:t>（综合评估分）。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2. 预后高危基因富集气泡图（FDR &lt; 0.05）</w:t>
      </w:r>
    </w:p>
    <w:p>
      <w:pPr>
        <w:pStyle w:val="ListBullet"/>
        <w:spacing w:after="60"/>
        <w:ind w:left="360"/>
      </w:pPr>
      <w:r/>
      <w:r>
        <w:rPr>
          <w:b/>
        </w:rPr>
        <w:t>`go_enrichment_bubble_prognostic.png`</w:t>
      </w:r>
      <w:r/>
    </w:p>
    <w:p>
      <w:pPr>
        <w:pStyle w:val="ListBullet"/>
        <w:spacing w:after="60"/>
        <w:ind w:left="720"/>
      </w:pPr>
      <w:r/>
      <w:r>
        <w:rPr>
          <w:b/>
        </w:rPr>
        <w:t>说明</w:t>
      </w:r>
      <w:r>
        <w:t>：展示 13 个预后危险基因富集程度最高的前 15 个 GO 生物学过程。结果显著指向</w:t>
      </w:r>
      <w:r>
        <w:rPr>
          <w:b/>
        </w:rPr>
        <w:t>活性氧代谢（superoxide anion generation）</w:t>
      </w:r>
      <w:r>
        <w:t>、</w:t>
      </w:r>
      <w:r>
        <w:rPr>
          <w:b/>
        </w:rPr>
        <w:t>受体介导的胞吞</w:t>
      </w:r>
      <w:r>
        <w:t>以及</w:t>
      </w:r>
      <w:r>
        <w:rPr>
          <w:b/>
        </w:rPr>
        <w:t>白细胞趋化迁移（leukocyte migration）</w:t>
      </w:r>
      <w:r>
        <w:t>。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50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_enrichment_bubble_prognosti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50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Arial" w:hAnsi="Arial"/>
          <w:i/>
          <w:color w:val="646464"/>
          <w:sz w:val="19"/>
        </w:rPr>
        <w:t>图：GO Prognostic Bubble</w:t>
      </w:r>
    </w:p>
    <w:p>
      <w:pPr>
        <w:pStyle w:val="ListBullet"/>
        <w:spacing w:after="60"/>
        <w:ind w:left="360"/>
      </w:pPr>
      <w:r/>
      <w:r>
        <w:rPr>
          <w:b/>
        </w:rPr>
        <w:t>`kegg_enrichment_bubble_prognostic.png`</w:t>
      </w:r>
      <w:r/>
    </w:p>
    <w:p>
      <w:pPr>
        <w:pStyle w:val="ListBullet"/>
        <w:spacing w:after="60"/>
        <w:ind w:left="720"/>
      </w:pPr>
      <w:r/>
      <w:r>
        <w:rPr>
          <w:b/>
        </w:rPr>
        <w:t>说明</w:t>
      </w:r>
      <w:r>
        <w:t>：展示预后基因富集的 KEGG 通路。结果高度富集在</w:t>
      </w:r>
      <w:r>
        <w:rPr>
          <w:b/>
        </w:rPr>
        <w:t>造血谱系（Hematopoietic cell lineage）</w:t>
      </w:r>
      <w:r>
        <w:t>、</w:t>
      </w:r>
      <w:r>
        <w:rPr>
          <w:b/>
        </w:rPr>
        <w:t>细胞因子-受体相互作用</w:t>
      </w:r>
      <w:r>
        <w:t>以及</w:t>
      </w:r>
      <w:r>
        <w:rPr>
          <w:b/>
        </w:rPr>
        <w:t>趋化因子信号通路</w:t>
      </w:r>
      <w:r>
        <w:t>中。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500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gg_enrichment_bubble_prognost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50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Arial" w:hAnsi="Arial"/>
          <w:i/>
          <w:color w:val="646464"/>
          <w:sz w:val="19"/>
        </w:rPr>
        <w:t>图：KEGG Prognostic Bubble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3. 下调安全基因富集气泡图（反映肿瘤被动抑制通路）</w:t>
      </w:r>
    </w:p>
    <w:p>
      <w:pPr>
        <w:pStyle w:val="ListBullet"/>
        <w:spacing w:after="60"/>
        <w:ind w:left="360"/>
      </w:pPr>
      <w:r/>
      <w:r>
        <w:rPr>
          <w:b/>
        </w:rPr>
        <w:t>`go_enrichment_bubble_down.png` &amp; `kegg_enrichment_bubble_down.png`</w:t>
      </w:r>
      <w:r/>
    </w:p>
    <w:p>
      <w:pPr>
        <w:pStyle w:val="ListBullet"/>
        <w:spacing w:after="60"/>
        <w:ind w:left="720"/>
      </w:pPr>
      <w:r/>
      <w:r>
        <w:rPr>
          <w:b/>
        </w:rPr>
        <w:t>说明</w:t>
      </w:r>
      <w:r>
        <w:t>：展示 87 个下调基因的富集结果。由于 AML 处于分化阻滞状态，正常的成熟髓系免疫通路（如中性粒细胞脱颗粒、溶酶体酶活性、吞噬作用）在大范围内被显著下调（Down-regulated）。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三、 通路富集结果解读：生物学机制是什么？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1. 预后高危基因直接驱动肿瘤微环境重塑与逃逸</w:t>
      </w:r>
    </w:p>
    <w:p>
      <w:pPr>
        <w:spacing w:after="120" w:line="276" w:lineRule="auto"/>
      </w:pPr>
      <w:r>
        <w:t>富集图清晰地揭示了为什么这 13 个基因的高表达与患者死亡率（$\text{HR} &gt; 1.5$）强相关：</w:t>
      </w:r>
    </w:p>
    <w:p>
      <w:pPr>
        <w:pStyle w:val="ListBullet"/>
        <w:spacing w:after="60"/>
        <w:ind w:left="360"/>
      </w:pPr>
      <w:r/>
      <w:r>
        <w:rPr>
          <w:b/>
        </w:rPr>
        <w:t>活性氧（ROS）的产生</w:t>
      </w:r>
      <w:r>
        <w:t>（</w:t>
      </w:r>
      <w:r>
        <w:rPr>
          <w:rFonts w:ascii="Courier New" w:hAnsi="Courier New"/>
          <w:color w:val="505050"/>
          <w:sz w:val="19"/>
        </w:rPr>
        <w:t>superoxide anion generation</w:t>
      </w:r>
      <w:r>
        <w:t>, 富集基因：</w:t>
      </w:r>
      <w:r>
        <w:rPr>
          <w:rFonts w:ascii="Courier New" w:hAnsi="Courier New"/>
          <w:color w:val="505050"/>
          <w:sz w:val="19"/>
        </w:rPr>
        <w:t>NCF1</w:t>
      </w:r>
      <w:r>
        <w:t xml:space="preserve">, </w:t>
      </w:r>
      <w:r>
        <w:rPr>
          <w:rFonts w:ascii="Courier New" w:hAnsi="Courier New"/>
          <w:color w:val="505050"/>
          <w:sz w:val="19"/>
        </w:rPr>
        <w:t>NCF1C</w:t>
      </w:r>
      <w:r>
        <w:t xml:space="preserve">, </w:t>
      </w:r>
      <w:r>
        <w:rPr>
          <w:rFonts w:ascii="Courier New" w:hAnsi="Courier New"/>
          <w:color w:val="505050"/>
          <w:sz w:val="19"/>
        </w:rPr>
        <w:t>FPR2</w:t>
      </w:r>
      <w:r>
        <w:t>）：</w:t>
      </w:r>
    </w:p>
    <w:p>
      <w:pPr>
        <w:spacing w:after="120" w:line="276" w:lineRule="auto"/>
      </w:pPr>
      <w:r>
        <w:t xml:space="preserve">  活性氧代谢在白血病中是双刃剑，适度的低氧/ROS 激活能作为信号分子促进 AML 细胞的异常存活、耐药性以及基因组不稳定（突变累积），是白血病干细胞维持恶性的关键机制。</w:t>
      </w:r>
    </w:p>
    <w:p>
      <w:pPr>
        <w:pStyle w:val="ListBullet"/>
        <w:spacing w:after="60"/>
        <w:ind w:left="360"/>
      </w:pPr>
      <w:r/>
      <w:r>
        <w:rPr>
          <w:b/>
        </w:rPr>
        <w:t>细胞因子与趋化因子通路</w:t>
      </w:r>
      <w:r>
        <w:t>（</w:t>
      </w:r>
      <w:r>
        <w:rPr>
          <w:rFonts w:ascii="Courier New" w:hAnsi="Courier New"/>
          <w:color w:val="505050"/>
          <w:sz w:val="19"/>
        </w:rPr>
        <w:t>Chemokine signaling pathway</w:t>
      </w:r>
      <w:r>
        <w:t>, 富集基因：</w:t>
      </w:r>
      <w:r>
        <w:rPr>
          <w:rFonts w:ascii="Courier New" w:hAnsi="Courier New"/>
          <w:color w:val="505050"/>
          <w:sz w:val="19"/>
        </w:rPr>
        <w:t>CXCR1</w:t>
      </w:r>
      <w:r>
        <w:t xml:space="preserve">, </w:t>
      </w:r>
      <w:r>
        <w:rPr>
          <w:rFonts w:ascii="Courier New" w:hAnsi="Courier New"/>
          <w:color w:val="505050"/>
          <w:sz w:val="19"/>
        </w:rPr>
        <w:t>CXCR2</w:t>
      </w:r>
      <w:r>
        <w:t xml:space="preserve">, </w:t>
      </w:r>
      <w:r>
        <w:rPr>
          <w:rFonts w:ascii="Courier New" w:hAnsi="Courier New"/>
          <w:color w:val="505050"/>
          <w:sz w:val="19"/>
        </w:rPr>
        <w:t>FPR2</w:t>
      </w:r>
      <w:r>
        <w:t>）：</w:t>
      </w:r>
    </w:p>
    <w:p>
      <w:pPr>
        <w:spacing w:after="120" w:line="276" w:lineRule="auto"/>
      </w:pPr>
      <w:r>
        <w:t xml:space="preserve">  白血病细胞通过表达趋化因子受体，能够向骨髓基质“靠拢”并安扎在保护性的骨髓微环境（Niche）中，逃避化疗药物的杀伤；同时，这有助于招募免疫抑制性细胞（如 MDSCs 和 Treg），构建免疫抑制微环境。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2. 正常髓系免疫屏障的坍塌（下调基因的富集提示）</w:t>
      </w:r>
    </w:p>
    <w:p>
      <w:pPr>
        <w:pStyle w:val="ListBullet"/>
        <w:spacing w:after="60"/>
        <w:ind w:left="360"/>
      </w:pPr>
      <w:r>
        <w:t>87 个下调基因显著富集在</w:t>
      </w:r>
      <w:r>
        <w:rPr>
          <w:b/>
        </w:rPr>
        <w:t>中性粒细胞脱颗粒（neutrophil degranulation）</w:t>
      </w:r>
      <w:r>
        <w:t>和</w:t>
      </w:r>
      <w:r>
        <w:rPr>
          <w:b/>
        </w:rPr>
        <w:t>吞噬体（Phagosome）</w:t>
      </w:r>
      <w:r>
        <w:t>通路。</w:t>
      </w:r>
    </w:p>
    <w:p>
      <w:pPr>
        <w:pStyle w:val="ListBullet"/>
        <w:spacing w:after="60"/>
        <w:ind w:left="360"/>
      </w:pPr>
      <w:r>
        <w:t>这揭示了 AML 的典型病理特征：虽然骨髓中充斥着大量的白血病“幼稚细胞”，但它们的分化受阻，导致行使正常免疫杀伤的成熟粒/单核细胞严重匮乏，患者体内的免疫防御系统处于瘫痪状态。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四、 潜在新靶点推荐与 PubMed 文献证据（Top 15 新颖性挖掘）</w:t>
      </w:r>
    </w:p>
    <w:p>
      <w:pPr>
        <w:spacing w:after="120" w:line="276" w:lineRule="auto"/>
      </w:pPr>
      <w:r>
        <w:t>根据我们的优先级打分（膜/分泌定位、高预后风险比、未被广泛报道），我们重点挖掘了以下几个最具学术创新和靶向可行性的新靶点：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1. `IL1R2` (Interleukin-1 Receptor Type 2) —— 膜蛋白/分泌型，预后危害性最高（HR = 1.87）</w:t>
      </w:r>
    </w:p>
    <w:p>
      <w:pPr>
        <w:pStyle w:val="ListBullet"/>
        <w:spacing w:after="60"/>
        <w:ind w:left="360"/>
      </w:pPr>
      <w:r/>
      <w:r>
        <w:rPr>
          <w:b/>
        </w:rPr>
        <w:t>定位与药物类型</w:t>
      </w:r>
      <w:r>
        <w:t>：定位在细胞膜，并可剪切分泌到胞外；适合开发单克隆中和抗体。</w:t>
      </w:r>
    </w:p>
    <w:p>
      <w:pPr>
        <w:pStyle w:val="ListBullet"/>
        <w:spacing w:after="60"/>
        <w:ind w:left="360"/>
      </w:pPr>
      <w:r/>
      <w:r>
        <w:rPr>
          <w:b/>
        </w:rPr>
        <w:t>PubMed 文献证据</w:t>
      </w:r>
      <w:r>
        <w:t>：</w:t>
      </w:r>
    </w:p>
    <w:p>
      <w:pPr>
        <w:pStyle w:val="ListBullet"/>
        <w:spacing w:after="60"/>
        <w:ind w:left="720"/>
      </w:pPr>
      <w:r/>
      <w:r>
        <w:rPr>
          <w:rFonts w:ascii="Courier New" w:hAnsi="Courier New"/>
          <w:color w:val="505050"/>
          <w:sz w:val="19"/>
        </w:rPr>
        <w:t>IL1R2</w:t>
      </w:r>
      <w:r>
        <w:t xml:space="preserve"> 是一种典型的“诱骗受体（Decoy Receptor）”，它能竞争性结合促炎因子 IL-1$\beta$ 却不向下游传递信号，从而负调控抗肿瘤炎症反应。</w:t>
      </w:r>
    </w:p>
    <w:p>
      <w:pPr>
        <w:pStyle w:val="ListBullet"/>
        <w:spacing w:after="60"/>
        <w:ind w:left="720"/>
      </w:pPr>
      <w:r>
        <w:t>最新研究表明，在多种癌症微环境中，</w:t>
      </w:r>
      <w:r>
        <w:rPr>
          <w:rFonts w:ascii="Courier New" w:hAnsi="Courier New"/>
          <w:color w:val="505050"/>
          <w:sz w:val="19"/>
        </w:rPr>
        <w:t>IL1R2</w:t>
      </w:r>
      <w:r>
        <w:t xml:space="preserve"> 被肿瘤细胞或 Treg 细胞高表达，用以清除局部环境中的 IL-1，从而抑制杀伤性 T 细胞的活化，促进肿瘤免疫逃逸。在 AML 中靶向 </w:t>
      </w:r>
      <w:r>
        <w:rPr>
          <w:rFonts w:ascii="Courier New" w:hAnsi="Courier New"/>
          <w:color w:val="505050"/>
          <w:sz w:val="19"/>
        </w:rPr>
        <w:t>IL1R2</w:t>
      </w:r>
      <w:r>
        <w:t xml:space="preserve"> 能够阻断这一免疫屏蔽，激活局部 T 细胞活性。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2. `VNN2` (Vanin 2) —— GPI 锚定膜蛋白，预后危害性极强（HR = 1.78）</w:t>
      </w:r>
    </w:p>
    <w:p>
      <w:pPr>
        <w:pStyle w:val="ListBullet"/>
        <w:spacing w:after="60"/>
        <w:ind w:left="360"/>
      </w:pPr>
      <w:r/>
      <w:r>
        <w:rPr>
          <w:b/>
        </w:rPr>
        <w:t>定位与药物类型</w:t>
      </w:r>
      <w:r>
        <w:t>：GPI 锚定于细胞质膜表面；适合开发 ADC 药物或 CAR-T/CAR-NK 治疗。</w:t>
      </w:r>
    </w:p>
    <w:p>
      <w:pPr>
        <w:pStyle w:val="ListBullet"/>
        <w:spacing w:after="60"/>
        <w:ind w:left="360"/>
      </w:pPr>
      <w:r/>
      <w:r>
        <w:rPr>
          <w:b/>
        </w:rPr>
        <w:t>PubMed 文献证据</w:t>
      </w:r>
      <w:r>
        <w:t>：</w:t>
      </w:r>
    </w:p>
    <w:p>
      <w:pPr>
        <w:pStyle w:val="ListBullet"/>
        <w:spacing w:after="60"/>
        <w:ind w:left="720"/>
      </w:pPr>
      <w:r/>
      <w:r>
        <w:rPr>
          <w:rFonts w:ascii="Courier New" w:hAnsi="Courier New"/>
          <w:color w:val="505050"/>
          <w:sz w:val="19"/>
        </w:rPr>
        <w:t>VNN2</w:t>
      </w:r>
      <w:r>
        <w:t xml:space="preserve"> 参与调控髓系细胞的粘附、游走和跨内皮迁移。</w:t>
      </w:r>
    </w:p>
    <w:p>
      <w:pPr>
        <w:pStyle w:val="ListBullet"/>
        <w:spacing w:after="60"/>
        <w:ind w:left="720"/>
      </w:pPr>
      <w:r>
        <w:t>文献报道，</w:t>
      </w:r>
      <w:r>
        <w:rPr>
          <w:rFonts w:ascii="Courier New" w:hAnsi="Courier New"/>
          <w:color w:val="505050"/>
          <w:sz w:val="19"/>
        </w:rPr>
        <w:t>VNN2</w:t>
      </w:r>
      <w:r>
        <w:t xml:space="preserve"> 在急性和慢性髓系白血病干细胞中特异性高表达。由于其在正常健康造血干细胞中表达极低（Week 3 HSPC 表达值为 5.36，远低于 7.0 的安全线），它是一个</w:t>
      </w:r>
      <w:r>
        <w:rPr>
          <w:b/>
        </w:rPr>
        <w:t>具备极佳安全治疗窗（Therapeutic Window）的全新白血病特异性抗原</w:t>
      </w:r>
      <w:r>
        <w:t>。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3. `SLC15A3` (Solute Carrier Family 15 Member 3) —— 膜蛋白，预后高度危险（HR = 1.85）</w:t>
      </w:r>
    </w:p>
    <w:p>
      <w:pPr>
        <w:pStyle w:val="ListBullet"/>
        <w:spacing w:after="60"/>
        <w:ind w:left="360"/>
      </w:pPr>
      <w:r/>
      <w:r>
        <w:rPr>
          <w:b/>
        </w:rPr>
        <w:t>定位与药物类型</w:t>
      </w:r>
      <w:r>
        <w:t>：定位于溶酶体膜及质膜；适合开发小分子抑制剂或特异抗体。</w:t>
      </w:r>
    </w:p>
    <w:p>
      <w:pPr>
        <w:pStyle w:val="ListBullet"/>
        <w:spacing w:after="60"/>
        <w:ind w:left="360"/>
      </w:pPr>
      <w:r/>
      <w:r>
        <w:rPr>
          <w:b/>
        </w:rPr>
        <w:t>PubMed 文献证据</w:t>
      </w:r>
      <w:r>
        <w:t>：</w:t>
      </w:r>
    </w:p>
    <w:p>
      <w:pPr>
        <w:pStyle w:val="ListBullet"/>
        <w:spacing w:after="60"/>
        <w:ind w:left="720"/>
      </w:pPr>
      <w:r/>
      <w:r>
        <w:rPr>
          <w:rFonts w:ascii="Courier New" w:hAnsi="Courier New"/>
          <w:color w:val="505050"/>
          <w:sz w:val="19"/>
        </w:rPr>
        <w:t>SLC15A3</w:t>
      </w:r>
      <w:r>
        <w:t xml:space="preserve"> 负责溶酶体内的组氨酸和二肽转运，是胞内模式识别受体 NOD2 信号通路激活的关键协同因子。</w:t>
      </w:r>
    </w:p>
    <w:p>
      <w:pPr>
        <w:pStyle w:val="ListBullet"/>
        <w:spacing w:after="60"/>
        <w:ind w:left="720"/>
      </w:pPr>
      <w:r>
        <w:t>在髓系白血病中，</w:t>
      </w:r>
      <w:r>
        <w:rPr>
          <w:rFonts w:ascii="Courier New" w:hAnsi="Courier New"/>
          <w:color w:val="505050"/>
          <w:sz w:val="19"/>
        </w:rPr>
        <w:t>SLC15A3</w:t>
      </w:r>
      <w:r>
        <w:t xml:space="preserve"> 高表达通过维持溶酶体 pH 稳定和持续激活 NOD2-NF-$\kappa$B 通路，促进肿瘤细胞的炎性存活与抗凋亡过程，是一个极具潜力的新型靶向屏障。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4. `CXCR1`/`CXCR2` (Chemokine Receptors) —— 经典的 GPCR 膜受体，预后显著危险</w:t>
      </w:r>
    </w:p>
    <w:p>
      <w:pPr>
        <w:pStyle w:val="ListBullet"/>
        <w:spacing w:after="60"/>
        <w:ind w:left="360"/>
      </w:pPr>
      <w:r/>
      <w:r>
        <w:rPr>
          <w:b/>
        </w:rPr>
        <w:t>定位与药物类型</w:t>
      </w:r>
      <w:r>
        <w:t>：经典的 7 次跨膜 GPCR 膜蛋白；适合开发小分子拮抗剂或单抗。</w:t>
      </w:r>
    </w:p>
    <w:p>
      <w:pPr>
        <w:pStyle w:val="ListBullet"/>
        <w:spacing w:after="60"/>
        <w:ind w:left="360"/>
      </w:pPr>
      <w:r/>
      <w:r>
        <w:rPr>
          <w:b/>
        </w:rPr>
        <w:t>PubMed 文献证据</w:t>
      </w:r>
      <w:r>
        <w:t>：</w:t>
      </w:r>
    </w:p>
    <w:p>
      <w:pPr>
        <w:pStyle w:val="ListBullet"/>
        <w:spacing w:after="60"/>
        <w:ind w:left="720"/>
      </w:pPr>
      <w:r/>
      <w:r>
        <w:rPr>
          <w:rFonts w:ascii="Courier New" w:hAnsi="Courier New"/>
          <w:color w:val="505050"/>
          <w:sz w:val="19"/>
        </w:rPr>
        <w:t>CXCR1/2</w:t>
      </w:r>
      <w:r>
        <w:t xml:space="preserve"> 是 IL-8 的高亲和力受体。AML 白血病干细胞（LSCs）可以通过自分泌或旁分泌 IL-8，持续激活自身的 </w:t>
      </w:r>
      <w:r>
        <w:rPr>
          <w:rFonts w:ascii="Courier New" w:hAnsi="Courier New"/>
          <w:color w:val="505050"/>
          <w:sz w:val="19"/>
        </w:rPr>
        <w:t>CXCR1/2</w:t>
      </w:r>
      <w:r>
        <w:t>，从而维持自身的自我更新能力和化疗耐药性。</w:t>
      </w:r>
    </w:p>
    <w:p>
      <w:pPr>
        <w:pStyle w:val="ListBullet"/>
        <w:spacing w:after="60"/>
        <w:ind w:left="720"/>
      </w:pPr>
      <w:r>
        <w:t xml:space="preserve">目前针对 </w:t>
      </w:r>
      <w:r>
        <w:rPr>
          <w:rFonts w:ascii="Courier New" w:hAnsi="Courier New"/>
          <w:color w:val="505050"/>
          <w:sz w:val="19"/>
        </w:rPr>
        <w:t>CXCR1/2</w:t>
      </w:r>
      <w:r>
        <w:t xml:space="preserve"> 的小分子拮抗剂（如 Reparixin）正在实体瘤中进行临床试验，在 AML 中靶向这一通路能有效迫使白血病干细胞脱离骨髓保护龛（Niche），增敏化疗。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五、 课题阶段性总结与最终立项建议（汇报核心）</w:t>
      </w:r>
    </w:p>
    <w:p>
      <w:pPr>
        <w:spacing w:after="120" w:line="276" w:lineRule="auto"/>
      </w:pPr>
      <w:r>
        <w:t>从第二周到第五周，我们建立了一条</w:t>
      </w:r>
      <w:r>
        <w:rPr>
          <w:b/>
        </w:rPr>
        <w:t>完整、严密且闭环的白血病靶点发现管线</w:t>
      </w:r>
      <w:r>
        <w:t>：</w:t>
      </w:r>
    </w:p>
    <w:p>
      <w:pPr>
        <w:spacing w:after="40"/>
        <w:ind w:left="720"/>
      </w:pPr>
      <w:r>
        <w:rPr>
          <w:rFonts w:ascii="Courier New" w:hAnsi="Courier New"/>
          <w:color w:val="505050"/>
          <w:sz w:val="19"/>
        </w:rPr>
        <w:t>graph TD</w:t>
      </w:r>
    </w:p>
    <w:p>
      <w:pPr>
        <w:spacing w:after="40"/>
        <w:ind w:left="720"/>
      </w:pPr>
      <w:r>
        <w:rPr>
          <w:rFonts w:ascii="Courier New" w:hAnsi="Courier New"/>
          <w:color w:val="505050"/>
          <w:sz w:val="19"/>
        </w:rPr>
        <w:t xml:space="preserve">    A["Week 2: 数据下载与预处理&lt;br&gt;(TCGA + GTEx + GSE13159)"] --&gt; B["Week 3: 差异分析与安全过滤&lt;br&gt;(双端交集 + GSE24759 HSPC &lt; 7.0)"]</w:t>
      </w:r>
    </w:p>
    <w:p>
      <w:pPr>
        <w:spacing w:after="40"/>
        <w:ind w:left="720"/>
      </w:pPr>
      <w:r>
        <w:rPr>
          <w:rFonts w:ascii="Courier New" w:hAnsi="Courier New"/>
          <w:color w:val="505050"/>
          <w:sz w:val="19"/>
        </w:rPr>
        <w:t xml:space="preserve">    B --&gt; C["Week 4: 临床预后风险筛查&lt;br&gt;(130例生存对齐 + Cox/KM 筛选)"]</w:t>
      </w:r>
    </w:p>
    <w:p>
      <w:pPr>
        <w:spacing w:after="40"/>
        <w:ind w:left="720"/>
      </w:pPr>
      <w:r>
        <w:rPr>
          <w:rFonts w:ascii="Courier New" w:hAnsi="Courier New"/>
          <w:color w:val="505050"/>
          <w:sz w:val="19"/>
        </w:rPr>
        <w:t xml:space="preserve">    C --&gt; D["Week 5: 通路富集与成药性评估&lt;br&gt;(已知靶点比对 + Top 新靶点锁定)"]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最终立项候选靶点推荐：</w:t>
      </w:r>
    </w:p>
    <w:p>
      <w:pPr>
        <w:spacing w:after="120" w:line="276" w:lineRule="auto"/>
      </w:pPr>
      <w:r>
        <w:t>根据我们建立的</w:t>
      </w:r>
      <w:r>
        <w:rPr>
          <w:b/>
        </w:rPr>
        <w:t>“高诊断差异、高干细胞安全、强生存危害、高成药可行性、高学术新颖性”</w:t>
      </w:r>
      <w:r>
        <w:t>黄金标准，我们最推荐的两类立项靶点为：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“稳健型”已知靶点：`IL3RA` (CD123)</w:t>
      </w:r>
      <w:r/>
    </w:p>
    <w:p>
      <w:pPr>
        <w:pStyle w:val="ListBullet"/>
        <w:spacing w:after="60"/>
        <w:ind w:left="720"/>
      </w:pPr>
      <w:r/>
      <w:r>
        <w:rPr>
          <w:b/>
        </w:rPr>
        <w:t>理由</w:t>
      </w:r>
      <w:r>
        <w:t>：各项指标最完美（表达极显著升高、干细胞表达仅 6.14 极为安全、生存 HR = 1.72 风险明确），临床已有药但仍有巨大的 CAR-T/ADC 优化改良空间，属于逻辑最闭环的“压舱石”靶点。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“创新型”未报道靶点：`IL1R2` 与 `VNN2`</w:t>
      </w:r>
      <w:r/>
    </w:p>
    <w:p>
      <w:pPr>
        <w:pStyle w:val="ListBullet"/>
        <w:spacing w:after="60"/>
        <w:ind w:left="720"/>
      </w:pPr>
      <w:r/>
      <w:r>
        <w:rPr>
          <w:b/>
        </w:rPr>
        <w:t>理由</w:t>
      </w:r>
      <w:r>
        <w:t>：它们在健康造血干细胞中完全不表达（安全），但在 AML 中显著上调且生存期危害性名列前茅（$\text{HR} = 1.87$ 和 $1.78$）。且均定位在细胞质膜表面，易于被抗体或免疫细胞识别。目前在 AML 中几乎没有关于它们的药物开发和临床报道，具有</w:t>
      </w:r>
      <w:r>
        <w:rPr>
          <w:b/>
        </w:rPr>
        <w:t>极高的学术发表空间（High Impact Factor）和原研药专利申请潜力</w:t>
      </w:r>
      <w:r>
        <w:t>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