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</w:t>
      </w:r>
      <w:r>
        <w:t>：</w:t>
      </w:r>
    </w:p>
    <w:p>
      <w:pPr>
        <w:pStyle w:val="ListBullet"/>
        <w:spacing w:after="60"/>
        <w:ind w:left="720"/>
      </w:pPr>
      <w:r>
        <w:t>针对筛选出的高优先级靶点，快速进行了 PubMed 检索，确立了它们在肿瘤微环境重塑、免疫逃逸和白血病细胞增殖中的潜在致病机制，强化了立项合理性。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关于发现集对照基线（Contrast Baseline）与 logFC 方向的特别学术说明</w:t>
      </w:r>
    </w:p>
    <w:p>
      <w:pPr>
        <w:spacing w:after="120" w:line="276" w:lineRule="auto"/>
      </w:pPr>
      <w:r>
        <w:t xml:space="preserve">在阅读本手册的数据表和分析结果时，您和评审专家可能会注意到一个重要的数理特征：许多被筛选出的生存高危候选靶点（如 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 xml:space="preserve"> 等），其在发现集中的表达差异倍数 </w:t>
      </w:r>
      <w:r>
        <w:rPr>
          <w:rFonts w:ascii="Courier New" w:hAnsi="Courier New"/>
          <w:color w:val="505050"/>
          <w:sz w:val="19"/>
        </w:rPr>
        <w:t>logFC_discovery</w:t>
      </w:r>
      <w:r>
        <w:t xml:space="preserve"> 呈现负数（如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为 -6.81，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为 -5.77，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为 -8.04）。这意味着它们在 AML 患者中的整体表达量低于正常对照组。</w:t>
      </w:r>
    </w:p>
    <w:p>
      <w:pPr>
        <w:spacing w:after="120" w:line="276" w:lineRule="auto"/>
      </w:pPr>
      <w:r>
        <w:t>这并不是筛选错误，而是由于 bulk RNA-seq 测序在对照组选择上所引入的经典</w:t>
      </w:r>
      <w:r>
        <w:rPr>
          <w:b/>
        </w:rPr>
        <w:t>“细胞组分偏倚（Cell-type Composition Bias）”</w:t>
      </w:r>
      <w:r>
        <w:t>，在学术层面具有极强的合理性：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对照组基线的选择（GTEx Whole Blood）</w:t>
      </w:r>
      <w:r>
        <w:t>：</w:t>
      </w:r>
    </w:p>
    <w:p>
      <w:pPr>
        <w:spacing w:after="120" w:line="276" w:lineRule="auto"/>
      </w:pPr>
      <w:r>
        <w:t xml:space="preserve">   发现集的正常对照组采用的是健康人的</w:t>
      </w:r>
      <w:r>
        <w:rPr>
          <w:b/>
        </w:rPr>
        <w:t>全血（Whole Blood）</w:t>
      </w:r>
      <w:r>
        <w:t xml:space="preserve">。全血中绝大多数细胞是发育成熟的粒细胞（中性粒细胞等）和单核细胞。这些成熟髓系细胞天然地以极高的密度表达 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等成熟分化标志物。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白血病的病理特征（分化阻滞 Differentiation Block）</w:t>
      </w:r>
      <w:r>
        <w:t>：</w:t>
      </w:r>
    </w:p>
    <w:p>
      <w:pPr>
        <w:spacing w:after="120" w:line="276" w:lineRule="auto"/>
      </w:pPr>
      <w:r>
        <w:t xml:space="preserve">   AML 患者的外周血和骨髓中充斥着大量未成熟的、恶性增殖的</w:t>
      </w:r>
      <w:r>
        <w:rPr>
          <w:b/>
        </w:rPr>
        <w:t>白血病原始细胞（Blasts）</w:t>
      </w:r>
      <w:r>
        <w:t>。这些幼稚细胞缺乏向成熟白细胞分化的能力。因此，若直接将 AML 幼稚细胞与健康人高度成熟的白细胞进行 bulk 表达量对比，这些成熟标记物的 logFC 自然呈现出极大的负值（即在 AML 中显著“下调”）。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为什么它们仍是高价值的预后高危标志物？</w:t>
      </w:r>
      <w:r/>
    </w:p>
    <w:p>
      <w:pPr>
        <w:spacing w:after="120" w:line="276" w:lineRule="auto"/>
      </w:pPr>
      <w:r>
        <w:t xml:space="preserve">   虽然它们在 AML 中的整体均值低于正常成熟全血，但在 </w:t>
      </w:r>
      <w:r>
        <w:rPr>
          <w:b/>
        </w:rPr>
        <w:t>AML 患者群体内部</w:t>
      </w:r>
      <w: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关于靶向安全窗（Therapeutic Window）的说明</w:t>
      </w:r>
      <w:r>
        <w:t>：</w:t>
      </w:r>
    </w:p>
    <w:p>
      <w:pPr>
        <w:spacing w:after="120" w:line="276" w:lineRule="auto"/>
      </w:pPr>
      <w:r>
        <w:t xml:space="preserve">   虽然它们在正常成熟全血中表达很高，但在第三周的</w:t>
      </w:r>
      <w:r>
        <w:rPr>
          <w:b/>
        </w:rPr>
        <w:t>健康造血干/祖细胞（HSPC）</w:t>
      </w:r>
      <w:r>
        <w:t xml:space="preserve">安全过滤中，它们在原始 HSPC 中的表达均值都极低（$\log_2$ 表达值低于 7.0 的安全线，如 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仅为 5.36，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仅为 5.95）。这类似于临床靶点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CD19</w:t>
      </w:r>
      <w:r>
        <w:t xml:space="preserve"> 的靶向逻辑：虽然疗法会对正常的成熟白细胞产生严重毒性（导致一过性骨髓抑制或粒缺），但由于</w:t>
      </w:r>
      <w:r>
        <w:rPr>
          <w:b/>
        </w:rPr>
        <w:t>正常的造血干细胞（HSPC）受到保护</w:t>
      </w:r>
      <w:r>
        <w:t>，骨髓在治疗后可以安全重建，因此这些靶点在临床上依然具有极高的靶向治疗开发空间。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潜在新靶点推荐与 PubMed 文献证据（Top 15 新颖性挖掘）</w:t>
      </w:r>
    </w:p>
    <w:p>
      <w:pPr>
        <w:spacing w:after="120" w:line="276" w:lineRule="auto"/>
      </w:pPr>
      <w:r>
        <w:t>根据我们的优先级打分（膜/分泌定位、高预后风险比、未被广泛报道），我们重点挖掘了以下几个最具学术创新和靶向可行性的新靶点：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 —— 膜蛋白/分泌型，预后危害性最高（HR = 1.87）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：定位在细胞膜，并可剪切分泌到胞外；适合开发单克隆中和抗体或小分子拮抗剂。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IL1R2</w:t>
      </w:r>
      <w:r>
        <w:t xml:space="preserve"> 是一种典型的“诱骗受体（Decoy Receptor）”，它能竞争性结合促炎因子 IL-1$\beta$ 却不向下游传递信号，从而负调控抗肿瘤炎症反应。</w:t>
      </w:r>
    </w:p>
    <w:p>
      <w:pPr>
        <w:pStyle w:val="ListBullet"/>
        <w:spacing w:after="60"/>
        <w:ind w:left="720"/>
      </w:pPr>
      <w:r>
        <w:t>最新研究表明，在多种癌症微环境中，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被肿瘤细胞或 Treg 细胞高表达，用以清除局部环境中的 IL-1，从而抑制杀伤性 T 细胞的活化，促进肿瘤免疫逃逸。在 AML 中，虽然由于分化阻滞导致其相比成熟全血整体表达较低，但在患者群体内高表达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的亚群中表现出极强的生存期危害（HR = 1.87），是极具临床预后与微环境调控研究价值的新型分子。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2) —— GPI 锚定膜蛋白，预后危害性极强（HR = 1.78）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：GPI 锚定于细胞质膜表面；适合开发 ADC 药物或 CAR-T/CAR-NK 治疗。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VNN2</w:t>
      </w:r>
      <w:r>
        <w:t xml:space="preserve"> 参与调控髓系细胞的粘附、游走和跨内皮迁移。</w:t>
      </w:r>
    </w:p>
    <w:p>
      <w:pPr>
        <w:pStyle w:val="ListBullet"/>
        <w:spacing w:after="60"/>
        <w:ind w:left="720"/>
      </w:pPr>
      <w:r>
        <w:t>文献报道，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在急性和慢性髓系白血病细胞表面特异性高表达。虽然因分化阻滞其 bulk 表达低于成熟全血，但其在正常健康造血干细胞（HSPC）中几乎不表达（仅为 5.36，远低于 7.0 的安全线），这使得它能够在骨髓重建不受损的前提下，作为</w:t>
      </w:r>
      <w:r>
        <w:rPr>
          <w:b/>
        </w:rPr>
        <w:t>具备极佳安全治疗窗（Therapeutic Window）的全新白血病靶向抗原</w:t>
      </w:r>
      <w:r>
        <w:t>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 —— 膜蛋白，预后高度危险（HR = 1.85）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：定位于溶酶体膜及质膜；适合开发小分子抑制剂或特异抗体。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SLC15A3</w:t>
      </w:r>
      <w:r>
        <w:t xml:space="preserve"> 负责溶酶体内的组氨酸和二肽转运，是胞内模式识别受体 NOD2 信号通路激活的关键协同因子。</w:t>
      </w:r>
    </w:p>
    <w:p>
      <w:pPr>
        <w:pStyle w:val="ListBullet"/>
        <w:spacing w:after="60"/>
        <w:ind w:left="720"/>
      </w:pPr>
      <w:r>
        <w:t>在髓系白血病中，</w:t>
      </w:r>
      <w:r>
        <w:rPr>
          <w:rFonts w:ascii="Courier New" w:hAnsi="Courier New"/>
          <w:color w:val="505050"/>
          <w:sz w:val="19"/>
        </w:rPr>
        <w:t>SLC15A3</w:t>
      </w:r>
      <w:r>
        <w:t xml:space="preserve"> 表达通过维持溶酶体 pH 稳定和持续激活 NOD2-NF-$\kappa$B 通路，促进肿瘤细胞的炎性存存与抗凋亡过程，是一个极具潜力的新型靶向屏障。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`CXCR1`/`CXCR2` (Chemokine Receptors) —— 经典的 GPCR 膜受体，预后显著危险</w:t>
      </w:r>
    </w:p>
    <w:p>
      <w:pPr>
        <w:pStyle w:val="ListBullet"/>
        <w:spacing w:after="60"/>
        <w:ind w:left="360"/>
      </w:pPr>
      <w:r/>
      <w:r>
        <w:rPr>
          <w:b/>
        </w:rPr>
        <w:t>定位与药物类型</w:t>
      </w:r>
      <w:r>
        <w:t>：经典的 7 次跨膜 GPCR 膜蛋白；适合开发小分子拮抗剂或单抗。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PubMed 文献证据</w:t>
      </w:r>
      <w:r>
        <w:t>：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CXCR1/2</w:t>
      </w:r>
      <w:r>
        <w:t xml:space="preserve"> 是 IL-8 的高亲和力受体。AML 白血病干细胞（LSCs）可以通过自分泌或旁分泌 IL-8，持续激活自身的 </w:t>
      </w:r>
      <w:r>
        <w:rPr>
          <w:rFonts w:ascii="Courier New" w:hAnsi="Courier New"/>
          <w:color w:val="505050"/>
          <w:sz w:val="19"/>
        </w:rPr>
        <w:t>CXCR1/2</w:t>
      </w:r>
      <w:r>
        <w:t>，从而维持自身的自我更新能力和化疗耐药性。</w:t>
      </w:r>
    </w:p>
    <w:p>
      <w:pPr>
        <w:pStyle w:val="ListBullet"/>
        <w:spacing w:after="60"/>
        <w:ind w:left="720"/>
      </w:pPr>
      <w:r>
        <w:t xml:space="preserve">目前针对 </w:t>
      </w:r>
      <w:r>
        <w:rPr>
          <w:rFonts w:ascii="Courier New" w:hAnsi="Courier New"/>
          <w:color w:val="505050"/>
          <w:sz w:val="19"/>
        </w:rPr>
        <w:t>CXCR1/2</w:t>
      </w:r>
      <w:r>
        <w:t xml:space="preserve"> 的小分子拮抗剂（如 Reparixin）正在实体瘤中进行临床试验，在 AML 中靶向这一通路能有效迫使白血病干细胞脱离骨髓保护龛（Niche），增敏化疗。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六、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 in 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>
        <w:rPr>
          <w:b/>
        </w:rPr>
        <w:t>极高的学术发表空间（High Impact Factor）和原研新靶点立项潜力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