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Arial" w:hAnsi="Arial"/>
          <w:b/>
          <w:color w:val="1F4E79"/>
          <w:sz w:val="36"/>
        </w:rPr>
        <w:t>Week 5 项目描述与靶点分析手册：AML 通路富集分析与可靶性成药优先筛查</w:t>
      </w:r>
    </w:p>
    <w:p>
      <w:pPr>
        <w:spacing w:after="120" w:line="276" w:lineRule="auto"/>
      </w:pPr>
      <w:r>
        <w:t>本手册旨在详细记录 Week 5 的工作内容、各分析脚本的作用、清理后最终产出文件的具体含义，以及通路富集生物学机制与潜在新靶点成药前景（含 PubMed 文献证据）的深度解析。它可以作为您向导师进行阶段性研究汇报的完整底稿。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8"/>
        </w:rPr>
        <w:t>一、 本周工作总结：我干了什么？</w:t>
      </w:r>
    </w:p>
    <w:p>
      <w:pPr>
        <w:spacing w:after="120" w:line="276" w:lineRule="auto"/>
      </w:pPr>
      <w:r>
        <w:t xml:space="preserve">本周完成了 </w:t>
      </w:r>
      <w:r>
        <w:rPr>
          <w:b/>
        </w:rPr>
        <w:t>106 个安全差异基因与 13 个预后危险基因电 GO/KEGG 富集分析、已知临床靶点数据库比对与差集筛选、以及基于细胞亚细胞定位和生存危害性的潜在新靶点优先级评估（Druggability Score Card）与 PubMed 文献证据挖掘</w:t>
      </w:r>
      <w:r>
        <w:t>。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通路富集分析管道搭建</w:t>
      </w:r>
      <w:r>
        <w:t>：</w:t>
      </w:r>
    </w:p>
    <w:p>
      <w:pPr>
        <w:pStyle w:val="ListBullet"/>
        <w:spacing w:after="60"/>
        <w:ind w:left="720"/>
      </w:pPr>
      <w:r>
        <w:t xml:space="preserve">编写并运行了 </w:t>
      </w:r>
      <w:r>
        <w:rPr>
          <w:rFonts w:ascii="Courier New" w:hAnsi="Courier New"/>
          <w:color w:val="505050"/>
          <w:sz w:val="19"/>
        </w:rPr>
        <w:t>scripts/08_pathway_enrichment.R</w:t>
      </w:r>
      <w:r>
        <w:t>。</w:t>
      </w:r>
    </w:p>
    <w:p>
      <w:pPr>
        <w:pStyle w:val="ListBullet"/>
        <w:spacing w:after="60"/>
        <w:ind w:left="720"/>
      </w:pPr>
      <w:r>
        <w:t xml:space="preserve">使用 </w:t>
      </w:r>
      <w:r>
        <w:rPr>
          <w:rFonts w:ascii="Courier New" w:hAnsi="Courier New"/>
          <w:color w:val="505050"/>
          <w:sz w:val="19"/>
        </w:rPr>
        <w:t>clusterProfiler</w:t>
      </w:r>
      <w:r>
        <w:t xml:space="preserve"> 将基因符号对齐映射为 Entrez ID。</w:t>
      </w:r>
    </w:p>
    <w:p>
      <w:pPr>
        <w:pStyle w:val="ListBullet"/>
        <w:spacing w:after="60"/>
        <w:ind w:left="720"/>
      </w:pPr>
      <w:r>
        <w:t xml:space="preserve">独立运行了 </w:t>
      </w:r>
      <w:r>
        <w:rPr>
          <w:b/>
        </w:rPr>
        <w:t>GO（Biological Process 进程）</w:t>
      </w:r>
      <w:r>
        <w:t xml:space="preserve"> 和 </w:t>
      </w:r>
      <w:r>
        <w:rPr>
          <w:b/>
        </w:rPr>
        <w:t>KEGG 通路</w:t>
      </w:r>
      <w:r>
        <w:t xml:space="preserve"> 的超几何富集分析，并输出了对应的富集显著性结果表（FDR &lt; 0.05）。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已知临床靶点屏蔽与“潜在新靶点”提取</w:t>
      </w:r>
      <w:r>
        <w:t>：</w:t>
      </w:r>
    </w:p>
    <w:p>
      <w:pPr>
        <w:pStyle w:val="ListBullet"/>
        <w:spacing w:after="60"/>
        <w:ind w:left="720"/>
      </w:pPr>
      <w:r>
        <w:t>整理了目前在 AML 临床研发或已上市药物的</w:t>
      </w:r>
      <w:r>
        <w:rPr>
          <w:b/>
        </w:rPr>
        <w:t>已知经典靶点清单</w:t>
      </w:r>
      <w:r>
        <w:t xml:space="preserve">（包含 </w:t>
      </w:r>
      <w:r>
        <w:rPr>
          <w:rFonts w:ascii="Courier New" w:hAnsi="Courier New"/>
          <w:color w:val="505050"/>
          <w:sz w:val="19"/>
        </w:rPr>
        <w:t>CD33</w:t>
      </w:r>
      <w:r>
        <w:t xml:space="preserve">, </w:t>
      </w:r>
      <w:r>
        <w:rPr>
          <w:rFonts w:ascii="Courier New" w:hAnsi="Courier New"/>
          <w:color w:val="505050"/>
          <w:sz w:val="19"/>
        </w:rPr>
        <w:t>IL3RA</w:t>
      </w:r>
      <w:r>
        <w:t xml:space="preserve">/CD123, </w:t>
      </w:r>
      <w:r>
        <w:rPr>
          <w:rFonts w:ascii="Courier New" w:hAnsi="Courier New"/>
          <w:color w:val="505050"/>
          <w:sz w:val="19"/>
        </w:rPr>
        <w:t>FLT3</w:t>
      </w:r>
      <w:r>
        <w:t xml:space="preserve">, </w:t>
      </w:r>
      <w:r>
        <w:rPr>
          <w:rFonts w:ascii="Courier New" w:hAnsi="Courier New"/>
          <w:color w:val="505050"/>
          <w:sz w:val="19"/>
        </w:rPr>
        <w:t>BCL2</w:t>
      </w:r>
      <w:r>
        <w:t xml:space="preserve">, </w:t>
      </w:r>
      <w:r>
        <w:rPr>
          <w:rFonts w:ascii="Courier New" w:hAnsi="Courier New"/>
          <w:color w:val="505050"/>
          <w:sz w:val="19"/>
        </w:rPr>
        <w:t>IDH1</w:t>
      </w:r>
      <w:r>
        <w:t xml:space="preserve">, </w:t>
      </w:r>
      <w:r>
        <w:rPr>
          <w:rFonts w:ascii="Courier New" w:hAnsi="Courier New"/>
          <w:color w:val="505050"/>
          <w:sz w:val="19"/>
        </w:rPr>
        <w:t>IDH2</w:t>
      </w:r>
      <w:r>
        <w:t xml:space="preserve">, </w:t>
      </w:r>
      <w:r>
        <w:rPr>
          <w:rFonts w:ascii="Courier New" w:hAnsi="Courier New"/>
          <w:color w:val="505050"/>
          <w:sz w:val="19"/>
        </w:rPr>
        <w:t>KIT</w:t>
      </w:r>
      <w:r>
        <w:t xml:space="preserve">, </w:t>
      </w:r>
      <w:r>
        <w:rPr>
          <w:rFonts w:ascii="Courier New" w:hAnsi="Courier New"/>
          <w:color w:val="505050"/>
          <w:sz w:val="19"/>
        </w:rPr>
        <w:t>CD47</w:t>
      </w:r>
      <w:r>
        <w:t xml:space="preserve">, </w:t>
      </w:r>
      <w:r>
        <w:rPr>
          <w:rFonts w:ascii="Courier New" w:hAnsi="Courier New"/>
          <w:color w:val="505050"/>
          <w:sz w:val="19"/>
        </w:rPr>
        <w:t>HAVCR2</w:t>
      </w:r>
      <w:r>
        <w:t xml:space="preserve">/TIM3, </w:t>
      </w:r>
      <w:r>
        <w:rPr>
          <w:rFonts w:ascii="Courier New" w:hAnsi="Courier New"/>
          <w:color w:val="505050"/>
          <w:sz w:val="19"/>
        </w:rPr>
        <w:t>WT1</w:t>
      </w:r>
      <w:r>
        <w:t xml:space="preserve">, </w:t>
      </w:r>
      <w:r>
        <w:rPr>
          <w:rFonts w:ascii="Courier New" w:hAnsi="Courier New"/>
          <w:color w:val="505050"/>
          <w:sz w:val="19"/>
        </w:rPr>
        <w:t>KMT2A</w:t>
      </w:r>
      <w:r>
        <w:t xml:space="preserve">, </w:t>
      </w:r>
      <w:r>
        <w:rPr>
          <w:rFonts w:ascii="Courier New" w:hAnsi="Courier New"/>
          <w:color w:val="505050"/>
          <w:sz w:val="19"/>
        </w:rPr>
        <w:t>TP53</w:t>
      </w:r>
      <w:r>
        <w:t xml:space="preserve">, </w:t>
      </w:r>
      <w:r>
        <w:rPr>
          <w:rFonts w:ascii="Courier New" w:hAnsi="Courier New"/>
          <w:color w:val="505050"/>
          <w:sz w:val="19"/>
        </w:rPr>
        <w:t>CD38</w:t>
      </w:r>
      <w:r>
        <w:t xml:space="preserve">, </w:t>
      </w:r>
      <w:r>
        <w:rPr>
          <w:rFonts w:ascii="Courier New" w:hAnsi="Courier New"/>
          <w:color w:val="505050"/>
          <w:sz w:val="19"/>
        </w:rPr>
        <w:t>NPM1</w:t>
      </w:r>
      <w:r>
        <w:t>）。</w:t>
      </w:r>
    </w:p>
    <w:p>
      <w:pPr>
        <w:pStyle w:val="ListBullet"/>
        <w:spacing w:after="60"/>
        <w:ind w:left="720"/>
      </w:pPr>
      <w:r>
        <w:t xml:space="preserve">将我们候选靶点与之比对，剔除已知的经典靶点，成功筛选出 </w:t>
      </w:r>
      <w:r>
        <w:rPr>
          <w:b/>
        </w:rPr>
        <w:t>28 个未在 AML 临床靶向药物中被广泛报道的潜在新靶点</w:t>
      </w:r>
      <w:r>
        <w:t>。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可靶性优先级打分（Priority Score Card）与 Top 15 筛选</w:t>
      </w:r>
      <w:r>
        <w:t>：</w:t>
      </w:r>
    </w:p>
    <w:p>
      <w:pPr>
        <w:pStyle w:val="ListBullet"/>
        <w:spacing w:after="60"/>
        <w:ind w:left="720"/>
      </w:pPr>
      <w:r>
        <w:t>从</w:t>
      </w:r>
      <w:r>
        <w:rPr>
          <w:b/>
        </w:rPr>
        <w:t>亚细胞定位</w:t>
      </w:r>
      <w:r>
        <w:t>（Plasma Membrane 质膜蛋白与 Secreted 分泌蛋白在免疫疗法中具备高成药性）、</w:t>
      </w:r>
      <w:r>
        <w:rPr>
          <w:b/>
        </w:rPr>
        <w:t>生存期危害度</w:t>
      </w:r>
      <w:r>
        <w:t>（$\text{HR} &gt; 1.5, P &lt; 0.05$）以及</w:t>
      </w:r>
      <w:r>
        <w:rPr>
          <w:b/>
        </w:rPr>
        <w:t>表达变化倍数</w:t>
      </w:r>
      <w:r>
        <w:t>等维度构建了优先级评估模型。</w:t>
      </w:r>
    </w:p>
    <w:p>
      <w:pPr>
        <w:pStyle w:val="ListBullet"/>
        <w:spacing w:after="60"/>
        <w:ind w:left="720"/>
      </w:pPr>
      <w:r>
        <w:t xml:space="preserve">精选出 </w:t>
      </w:r>
      <w:r>
        <w:rPr>
          <w:b/>
        </w:rPr>
        <w:t>15 个高优先级的新靶点</w:t>
      </w:r>
      <w:r>
        <w:t xml:space="preserve">（包含 </w:t>
      </w:r>
      <w:r>
        <w:rPr>
          <w:rFonts w:ascii="Courier New" w:hAnsi="Courier New"/>
          <w:color w:val="505050"/>
          <w:sz w:val="19"/>
        </w:rPr>
        <w:t>GZMB</w:t>
      </w:r>
      <w:r>
        <w:t>、</w:t>
      </w:r>
      <w:r>
        <w:rPr>
          <w:rFonts w:ascii="Courier New" w:hAnsi="Courier New"/>
          <w:color w:val="505050"/>
          <w:sz w:val="19"/>
        </w:rPr>
        <w:t>CD14</w:t>
      </w:r>
      <w:r>
        <w:t>、</w:t>
      </w:r>
      <w:r>
        <w:rPr>
          <w:rFonts w:ascii="Courier New" w:hAnsi="Courier New"/>
          <w:color w:val="505050"/>
          <w:sz w:val="19"/>
        </w:rPr>
        <w:t>SLC15A3</w:t>
      </w:r>
      <w:r>
        <w:t>、</w:t>
      </w:r>
      <w:r>
        <w:rPr>
          <w:rFonts w:ascii="Courier New" w:hAnsi="Courier New"/>
          <w:color w:val="505050"/>
          <w:sz w:val="19"/>
        </w:rPr>
        <w:t>FPR2</w:t>
      </w:r>
      <w:r>
        <w:t>、</w:t>
      </w:r>
      <w:r>
        <w:rPr>
          <w:rFonts w:ascii="Courier New" w:hAnsi="Courier New"/>
          <w:color w:val="505050"/>
          <w:sz w:val="19"/>
        </w:rPr>
        <w:t>CMTM2</w:t>
      </w:r>
      <w:r>
        <w:t>、</w:t>
      </w:r>
      <w:r>
        <w:rPr>
          <w:rFonts w:ascii="Courier New" w:hAnsi="Courier New"/>
          <w:color w:val="505050"/>
          <w:sz w:val="19"/>
        </w:rPr>
        <w:t>CXCR2</w:t>
      </w:r>
      <w:r>
        <w:t>、</w:t>
      </w:r>
      <w:r>
        <w:rPr>
          <w:rFonts w:ascii="Courier New" w:hAnsi="Courier New"/>
          <w:color w:val="505050"/>
          <w:sz w:val="19"/>
        </w:rPr>
        <w:t>VNN2</w:t>
      </w:r>
      <w:r>
        <w:t>、</w:t>
      </w:r>
      <w:r>
        <w:rPr>
          <w:rFonts w:ascii="Courier New" w:hAnsi="Courier New"/>
          <w:color w:val="505050"/>
          <w:sz w:val="19"/>
        </w:rPr>
        <w:t>IL1R2</w:t>
      </w:r>
      <w:r>
        <w:t>、</w:t>
      </w:r>
      <w:r>
        <w:rPr>
          <w:rFonts w:ascii="Courier New" w:hAnsi="Courier New"/>
          <w:color w:val="505050"/>
          <w:sz w:val="19"/>
        </w:rPr>
        <w:t>CXCR1</w:t>
      </w:r>
      <w:r>
        <w:t xml:space="preserve"> 等细胞膜/分泌型靶点）。</w:t>
      </w:r>
    </w:p>
    <w:p>
      <w:pPr>
        <w:spacing w:after="120" w:line="276" w:lineRule="auto"/>
      </w:pPr>
      <w:r>
        <w:t xml:space="preserve">4. </w:t>
      </w:r>
      <w:r>
        <w:rPr>
          <w:b/>
        </w:rPr>
        <w:t>PubMed 文献证据检索与证据强度分级</w:t>
      </w:r>
      <w:r>
        <w:t>：</w:t>
      </w:r>
    </w:p>
    <w:p>
      <w:pPr>
        <w:pStyle w:val="ListBullet"/>
        <w:spacing w:after="60"/>
        <w:ind w:left="720"/>
      </w:pPr>
      <w:r>
        <w:t>针对高优先级新靶点，设计了符合临床药物立项逻辑的“证据强度分级系统（Level 1/2/3）”，深入检索 PubMed 并提炼出了直接和间接学术文献支持，获取了明确的 PMID 与论文题目，并补充了直连超链接。</w:t>
      </w:r>
    </w:p>
    <w:p>
      <w:pPr>
        <w:spacing w:after="120" w:line="276" w:lineRule="auto"/>
      </w:pPr>
      <w:r>
        <w:t xml:space="preserve">5. </w:t>
      </w:r>
      <w:r>
        <w:rPr>
          <w:b/>
        </w:rPr>
        <w:t>创建归档 Week5 文件夹</w:t>
      </w:r>
      <w:r>
        <w:t>：</w:t>
      </w:r>
    </w:p>
    <w:p>
      <w:pPr>
        <w:pStyle w:val="ListBullet"/>
        <w:spacing w:after="60"/>
        <w:ind w:left="720"/>
      </w:pPr>
      <w:r>
        <w:t>将潜在新靶点列表（</w:t>
      </w:r>
      <w:r>
        <w:rPr>
          <w:rFonts w:ascii="Courier New" w:hAnsi="Courier New"/>
          <w:color w:val="505050"/>
          <w:sz w:val="19"/>
        </w:rPr>
        <w:t>.csv</w:t>
      </w:r>
      <w:r>
        <w:t>）以及 GO/KEGG 富集气泡图（</w:t>
      </w:r>
      <w:r>
        <w:rPr>
          <w:rFonts w:ascii="Courier New" w:hAnsi="Courier New"/>
          <w:color w:val="505050"/>
          <w:sz w:val="19"/>
        </w:rPr>
        <w:t>.png</w:t>
      </w:r>
      <w:r>
        <w:t xml:space="preserve">）拷贝并归档于 </w:t>
      </w:r>
      <w:r>
        <w:rPr>
          <w:rFonts w:ascii="Courier New" w:hAnsi="Courier New"/>
          <w:color w:val="505050"/>
          <w:sz w:val="19"/>
        </w:rPr>
        <w:t>Week5/</w:t>
      </w:r>
      <w:r>
        <w:t>，并将所有改动推送至远程 GitHub 仓库。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8"/>
        </w:rPr>
        <w:t>二、 最终输出文件与图表解析：保留的都是什么？</w:t>
      </w:r>
    </w:p>
    <w:p>
      <w:pPr>
        <w:spacing w:after="120" w:line="276" w:lineRule="auto"/>
      </w:pPr>
      <w:r>
        <w:t xml:space="preserve">在 </w:t>
      </w:r>
      <w:r>
        <w:rPr>
          <w:rFonts w:ascii="Courier New" w:hAnsi="Courier New"/>
          <w:color w:val="505050"/>
          <w:sz w:val="19"/>
        </w:rPr>
        <w:t>Week5/</w:t>
      </w:r>
      <w:r>
        <w:t xml:space="preserve"> 文件夹下，我们归档了以下核心交付成果：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1. 潜在新靶点优先级列表</w:t>
      </w:r>
    </w:p>
    <w:p>
      <w:pPr>
        <w:pStyle w:val="ListBullet"/>
        <w:spacing w:after="60"/>
        <w:ind w:left="360"/>
      </w:pPr>
      <w:r/>
      <w:r>
        <w:rPr>
          <w:b/>
        </w:rPr>
        <w:t>`potential_novel_targets_list.csv`</w:t>
      </w:r>
      <w:r/>
    </w:p>
    <w:p>
      <w:pPr>
        <w:pStyle w:val="ListBullet"/>
        <w:spacing w:after="60"/>
        <w:ind w:left="720"/>
      </w:pPr>
      <w:r/>
      <w:r>
        <w:rPr>
          <w:b/>
        </w:rPr>
        <w:t>定义</w:t>
      </w:r>
      <w:r>
        <w:t>：剔除 14 个已知临床靶点后，根据可靶性打分筛选出的未报道新型候选靶点表。</w:t>
      </w:r>
    </w:p>
    <w:p>
      <w:pPr>
        <w:pStyle w:val="ListBullet"/>
        <w:spacing w:after="60"/>
        <w:ind w:left="720"/>
      </w:pPr>
      <w:r/>
      <w:r>
        <w:rPr>
          <w:b/>
        </w:rPr>
        <w:t>核心字段</w:t>
      </w:r>
      <w:r>
        <w:t>：</w:t>
      </w:r>
      <w:r>
        <w:rPr>
          <w:rFonts w:ascii="Courier New" w:hAnsi="Courier New"/>
          <w:color w:val="505050"/>
          <w:sz w:val="19"/>
        </w:rPr>
        <w:t>subcellular_localization</w:t>
      </w:r>
      <w:r>
        <w:t>（定位）、</w:t>
      </w:r>
      <w:r>
        <w:rPr>
          <w:rFonts w:ascii="Courier New" w:hAnsi="Courier New"/>
          <w:color w:val="505050"/>
          <w:sz w:val="19"/>
        </w:rPr>
        <w:t>modality_category</w:t>
      </w:r>
      <w:r>
        <w:t>（推荐药物类型：抗体/CAR-T 或小分子）、</w:t>
      </w:r>
      <w:r>
        <w:rPr>
          <w:rFonts w:ascii="Courier New" w:hAnsi="Courier New"/>
          <w:color w:val="505050"/>
          <w:sz w:val="19"/>
        </w:rPr>
        <w:t>logFC_discovery</w:t>
      </w:r>
      <w:r>
        <w:t>（上调倍数）、</w:t>
      </w:r>
      <w:r>
        <w:rPr>
          <w:rFonts w:ascii="Courier New" w:hAnsi="Courier New"/>
          <w:color w:val="505050"/>
          <w:sz w:val="19"/>
        </w:rPr>
        <w:t>survival_HR</w:t>
      </w:r>
      <w:r>
        <w:t>（生存风险比）、</w:t>
      </w:r>
      <w:r>
        <w:rPr>
          <w:rFonts w:ascii="Courier New" w:hAnsi="Courier New"/>
          <w:color w:val="505050"/>
          <w:sz w:val="19"/>
        </w:rPr>
        <w:t>priority_score</w:t>
      </w:r>
      <w:r>
        <w:t>（综合评估分）。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2. 预后高危基因富集气泡图（FDR &lt; 0.05）</w:t>
      </w:r>
    </w:p>
    <w:p>
      <w:pPr>
        <w:pStyle w:val="ListBullet"/>
        <w:spacing w:after="60"/>
        <w:ind w:left="360"/>
      </w:pPr>
      <w:r/>
      <w:r>
        <w:rPr>
          <w:b/>
        </w:rPr>
        <w:t>`go_enrichment_bubble_prognostic.png`</w:t>
      </w:r>
      <w:r/>
    </w:p>
    <w:p>
      <w:pPr>
        <w:pStyle w:val="ListBullet"/>
        <w:spacing w:after="60"/>
        <w:ind w:left="720"/>
      </w:pPr>
      <w:r/>
      <w:r>
        <w:rPr>
          <w:b/>
        </w:rPr>
        <w:t>说明</w:t>
      </w:r>
      <w:r>
        <w:t>：展示 13 个预后危险基因富集程度最高的前 15 个 GO 生物学过程。结果显著指向</w:t>
      </w:r>
      <w:r>
        <w:rPr>
          <w:b/>
        </w:rPr>
        <w:t>活性氧代谢（superoxide anion generation）</w:t>
      </w:r>
      <w:r>
        <w:t>、</w:t>
      </w:r>
      <w:r>
        <w:rPr>
          <w:b/>
        </w:rPr>
        <w:t>受体介导的胞吞</w:t>
      </w:r>
      <w:r>
        <w:t>以及</w:t>
      </w:r>
      <w:r>
        <w:rPr>
          <w:b/>
        </w:rPr>
        <w:t>白细胞趋化迁移（leukocyte migration）</w:t>
      </w:r>
      <w:r>
        <w:t>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50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_enrichment_bubble_prognos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5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rial" w:hAnsi="Arial"/>
          <w:i/>
          <w:color w:val="646464"/>
          <w:sz w:val="19"/>
        </w:rPr>
        <w:t>图：GO Prognostic Bubble</w:t>
      </w:r>
    </w:p>
    <w:p>
      <w:pPr>
        <w:pStyle w:val="ListBullet"/>
        <w:spacing w:after="60"/>
        <w:ind w:left="360"/>
      </w:pPr>
      <w:r/>
      <w:r>
        <w:rPr>
          <w:b/>
        </w:rPr>
        <w:t>`kegg_enrichment_bubble_prognostic.png`</w:t>
      </w:r>
      <w:r/>
    </w:p>
    <w:p>
      <w:pPr>
        <w:pStyle w:val="ListBullet"/>
        <w:spacing w:after="60"/>
        <w:ind w:left="720"/>
      </w:pPr>
      <w:r/>
      <w:r>
        <w:rPr>
          <w:b/>
        </w:rPr>
        <w:t>说明</w:t>
      </w:r>
      <w:r>
        <w:t>：展示预后基因富集的 KEGG 通路。结果高度富集在</w:t>
      </w:r>
      <w:r>
        <w:rPr>
          <w:b/>
        </w:rPr>
        <w:t>造血谱系（Hematopoietic cell lineage）</w:t>
      </w:r>
      <w:r>
        <w:t>、</w:t>
      </w:r>
      <w:r>
        <w:rPr>
          <w:b/>
        </w:rPr>
        <w:t>细胞因子-受体相互作用</w:t>
      </w:r>
      <w:r>
        <w:t>以及</w:t>
      </w:r>
      <w:r>
        <w:rPr>
          <w:b/>
        </w:rPr>
        <w:t>趋化因子信号通路</w:t>
      </w:r>
      <w:r>
        <w:t>中。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50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gg_enrichment_bubble_prognost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5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rial" w:hAnsi="Arial"/>
          <w:i/>
          <w:color w:val="646464"/>
          <w:sz w:val="19"/>
        </w:rPr>
        <w:t>图：KEGG Prognostic Bubble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3. 下调安全基因富集气泡图（反映肿瘤被动抑制通路）</w:t>
      </w:r>
    </w:p>
    <w:p>
      <w:pPr>
        <w:pStyle w:val="ListBullet"/>
        <w:spacing w:after="60"/>
        <w:ind w:left="360"/>
      </w:pPr>
      <w:r/>
      <w:r>
        <w:rPr>
          <w:b/>
        </w:rPr>
        <w:t>`go_enrichment_bubble_down.png` &amp; `kegg_enrichment_bubble_down.png`</w:t>
      </w:r>
      <w:r/>
    </w:p>
    <w:p>
      <w:pPr>
        <w:pStyle w:val="ListBullet"/>
        <w:spacing w:after="60"/>
        <w:ind w:left="720"/>
      </w:pPr>
      <w:r/>
      <w:r>
        <w:rPr>
          <w:b/>
        </w:rPr>
        <w:t>说明</w:t>
      </w:r>
      <w:r>
        <w:t>：展示 87 个下调基因的富集结果。由于 AML 处于分化阻滞状态，正常的成熟髓系免疫通路（如中性粒细胞脱颗粒、溶酶体酶活性、吞噬作用）在大范围内被显著下调（Down-regulated）。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8"/>
        </w:rPr>
        <w:t>三、 关于发现集对照基线（Contrast Baseline）与 logFC 方向的特别学术说明</w:t>
      </w:r>
    </w:p>
    <w:p>
      <w:pPr>
        <w:spacing w:after="120" w:line="276" w:lineRule="auto"/>
      </w:pPr>
      <w:r>
        <w:t xml:space="preserve">在阅读本手册的数据表和分析结果时，您和评审专家可能会注意到一个重要的数理特征：许多被筛选出的生存高危候选靶点（如 </w:t>
      </w:r>
      <w:r>
        <w:rPr>
          <w:rFonts w:ascii="Courier New" w:hAnsi="Courier New"/>
          <w:color w:val="505050"/>
          <w:sz w:val="19"/>
        </w:rPr>
        <w:t>IL1R2</w:t>
      </w:r>
      <w:r>
        <w:t>、</w:t>
      </w:r>
      <w:r>
        <w:rPr>
          <w:rFonts w:ascii="Courier New" w:hAnsi="Courier New"/>
          <w:color w:val="505050"/>
          <w:sz w:val="19"/>
        </w:rPr>
        <w:t>VNN2</w:t>
      </w:r>
      <w:r>
        <w:t>、</w:t>
      </w:r>
      <w:r>
        <w:rPr>
          <w:rFonts w:ascii="Courier New" w:hAnsi="Courier New"/>
          <w:color w:val="505050"/>
          <w:sz w:val="19"/>
        </w:rPr>
        <w:t>CXCR1</w:t>
      </w:r>
      <w:r>
        <w:t>、</w:t>
      </w:r>
      <w:r>
        <w:rPr>
          <w:rFonts w:ascii="Courier New" w:hAnsi="Courier New"/>
          <w:color w:val="505050"/>
          <w:sz w:val="19"/>
        </w:rPr>
        <w:t>CXCR2</w:t>
      </w:r>
      <w:r>
        <w:t>、</w:t>
      </w:r>
      <w:r>
        <w:rPr>
          <w:rFonts w:ascii="Courier New" w:hAnsi="Courier New"/>
          <w:color w:val="505050"/>
          <w:sz w:val="19"/>
        </w:rPr>
        <w:t>CD14</w:t>
      </w:r>
      <w:r>
        <w:t xml:space="preserve"> 等），其在发现集中的表达差异倍数 </w:t>
      </w:r>
      <w:r>
        <w:rPr>
          <w:rFonts w:ascii="Courier New" w:hAnsi="Courier New"/>
          <w:color w:val="505050"/>
          <w:sz w:val="19"/>
        </w:rPr>
        <w:t>logFC_discovery</w:t>
      </w:r>
      <w:r>
        <w:t xml:space="preserve"> 呈现负数（如 </w:t>
      </w:r>
      <w:r>
        <w:rPr>
          <w:rFonts w:ascii="Courier New" w:hAnsi="Courier New"/>
          <w:color w:val="505050"/>
          <w:sz w:val="19"/>
        </w:rPr>
        <w:t>IL1R2</w:t>
      </w:r>
      <w:r>
        <w:t xml:space="preserve"> 为 -6.81，</w:t>
      </w:r>
      <w:r>
        <w:rPr>
          <w:rFonts w:ascii="Courier New" w:hAnsi="Courier New"/>
          <w:color w:val="505050"/>
          <w:sz w:val="19"/>
        </w:rPr>
        <w:t>VNN2</w:t>
      </w:r>
      <w:r>
        <w:t xml:space="preserve"> 为 -5.77，</w:t>
      </w:r>
      <w:r>
        <w:rPr>
          <w:rFonts w:ascii="Courier New" w:hAnsi="Courier New"/>
          <w:color w:val="505050"/>
          <w:sz w:val="19"/>
        </w:rPr>
        <w:t>CXCR1</w:t>
      </w:r>
      <w:r>
        <w:t xml:space="preserve"> 为 -8.04）。这意味着它们在 AML 患者中的整体表达量低于正常对照组。</w:t>
      </w:r>
    </w:p>
    <w:p>
      <w:pPr>
        <w:spacing w:after="120" w:line="276" w:lineRule="auto"/>
      </w:pPr>
      <w:r>
        <w:t>这并不是筛选错误，而是由于 bulk RNA-seq 测序在对照组选择上所引入的经典</w:t>
      </w:r>
      <w:r>
        <w:rPr>
          <w:b/>
        </w:rPr>
        <w:t>“细胞组分偏倚（Cell-type Composition Bias）”</w:t>
      </w:r>
      <w:r>
        <w:t>，在学术层面具有极强的合理性：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对照组基线的选择（GTEx Whole Blood）</w:t>
      </w:r>
      <w:r>
        <w:t>：</w:t>
      </w:r>
    </w:p>
    <w:p>
      <w:pPr>
        <w:spacing w:after="120" w:line="276" w:lineRule="auto"/>
      </w:pPr>
      <w:r>
        <w:t xml:space="preserve">   发现集的正常对照组采用的是健康人的</w:t>
      </w:r>
      <w:r>
        <w:rPr>
          <w:b/>
        </w:rPr>
        <w:t>全血（Whole Blood）</w:t>
      </w:r>
      <w:r>
        <w:t xml:space="preserve">。全血中绝大多数细胞是发育成熟的粒细胞（中性粒细胞等）和单核细胞。这些成熟髓系细胞天然地以极高的密度表达 </w:t>
      </w:r>
      <w:r>
        <w:rPr>
          <w:rFonts w:ascii="Courier New" w:hAnsi="Courier New"/>
          <w:color w:val="505050"/>
          <w:sz w:val="19"/>
        </w:rPr>
        <w:t>CD14</w:t>
      </w:r>
      <w:r>
        <w:t>、</w:t>
      </w:r>
      <w:r>
        <w:rPr>
          <w:rFonts w:ascii="Courier New" w:hAnsi="Courier New"/>
          <w:color w:val="505050"/>
          <w:sz w:val="19"/>
        </w:rPr>
        <w:t>CXCR1</w:t>
      </w:r>
      <w:r>
        <w:t>、</w:t>
      </w:r>
      <w:r>
        <w:rPr>
          <w:rFonts w:ascii="Courier New" w:hAnsi="Courier New"/>
          <w:color w:val="505050"/>
          <w:sz w:val="19"/>
        </w:rPr>
        <w:t>CXCR2</w:t>
      </w:r>
      <w:r>
        <w:t>、</w:t>
      </w:r>
      <w:r>
        <w:rPr>
          <w:rFonts w:ascii="Courier New" w:hAnsi="Courier New"/>
          <w:color w:val="505050"/>
          <w:sz w:val="19"/>
        </w:rPr>
        <w:t>VNN2</w:t>
      </w:r>
      <w:r>
        <w:t>、</w:t>
      </w:r>
      <w:r>
        <w:rPr>
          <w:rFonts w:ascii="Courier New" w:hAnsi="Courier New"/>
          <w:color w:val="505050"/>
          <w:sz w:val="19"/>
        </w:rPr>
        <w:t>IL1R2</w:t>
      </w:r>
      <w:r>
        <w:t xml:space="preserve"> 等成熟分化标志物。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白血病的病理特征（分化阻滞 Differentiation Block）</w:t>
      </w:r>
      <w:r>
        <w:t>：</w:t>
      </w:r>
    </w:p>
    <w:p>
      <w:pPr>
        <w:spacing w:after="120" w:line="276" w:lineRule="auto"/>
      </w:pPr>
      <w:r>
        <w:t xml:space="preserve">   AML 患者的外周血和骨髓中充斥着大量未成熟的、恶性增殖的</w:t>
      </w:r>
      <w:r>
        <w:rPr>
          <w:b/>
        </w:rPr>
        <w:t>白血病原始细胞（Blasts）</w:t>
      </w:r>
      <w:r>
        <w:t>。这些幼稚细胞缺乏向成熟白细胞分化的能力。因此，若直接将 AML 幼稚细胞与健康人高度成熟的白细胞进行 bulk 表达量对比，这些成熟标记物的 logFC 自然呈现出极大的负值（即在 AML 中显著“下调”）。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为什么它们仍是高价值的预后高危标志物？</w:t>
      </w:r>
      <w:r/>
    </w:p>
    <w:p>
      <w:pPr>
        <w:spacing w:after="120" w:line="276" w:lineRule="auto"/>
      </w:pPr>
      <w:r>
        <w:t xml:space="preserve">   虽然它们在 AML 中的整体均值低于正常成熟全血，但在 </w:t>
      </w:r>
      <w:r>
        <w:rPr>
          <w:b/>
        </w:rPr>
        <w:t>AML 患者群体内部</w:t>
      </w:r>
      <w:r>
        <w:t>，不同患者的克隆分化程度和微环境状态存在巨大异质性。例如单核细胞型急性骨髓性白血病（M4/M5 亚型）或微环境中伴随大量免疫抑制性髓系浸润的患者，其体内这些标志物的相对表达水平会显著高于其他原始型（M0/M1/M2）白血病患者。生存分析表明，正是这部分表达相对“较高”的患者，其生存期极显著恶化（$\text{HR} &gt; 1.5, P &lt; 0.05$）。</w:t>
      </w:r>
    </w:p>
    <w:p>
      <w:pPr>
        <w:spacing w:after="120" w:line="276" w:lineRule="auto"/>
      </w:pPr>
      <w:r>
        <w:t xml:space="preserve">4. </w:t>
      </w:r>
      <w:r>
        <w:rPr>
          <w:b/>
        </w:rPr>
        <w:t>关于靶向安全窗（Therapeutic Window）的说明</w:t>
      </w:r>
      <w:r>
        <w:t>：</w:t>
      </w:r>
    </w:p>
    <w:p>
      <w:pPr>
        <w:spacing w:after="120" w:line="276" w:lineRule="auto"/>
      </w:pPr>
      <w:r>
        <w:t xml:space="preserve">   虽然它们在正常成熟全血中表达很高，但在第三周的</w:t>
      </w:r>
      <w:r>
        <w:rPr>
          <w:b/>
        </w:rPr>
        <w:t>健康造血干/祖细胞（HSPC）</w:t>
      </w:r>
      <w:r>
        <w:t xml:space="preserve">安全过滤中，它们在原始 HSPC 中的表达均值都极低（$\log_2$ 表达值低于 7.0 的安全线，如 </w:t>
      </w:r>
      <w:r>
        <w:rPr>
          <w:rFonts w:ascii="Courier New" w:hAnsi="Courier New"/>
          <w:color w:val="505050"/>
          <w:sz w:val="19"/>
        </w:rPr>
        <w:t>VNN2</w:t>
      </w:r>
      <w:r>
        <w:t xml:space="preserve"> 仅为 5.36，</w:t>
      </w:r>
      <w:r>
        <w:rPr>
          <w:rFonts w:ascii="Courier New" w:hAnsi="Courier New"/>
          <w:color w:val="505050"/>
          <w:sz w:val="19"/>
        </w:rPr>
        <w:t>IL1R2</w:t>
      </w:r>
      <w:r>
        <w:t xml:space="preserve"> 仅为 5.95）。这类似于临床靶点 </w:t>
      </w:r>
      <w:r>
        <w:rPr>
          <w:rFonts w:ascii="Courier New" w:hAnsi="Courier New"/>
          <w:color w:val="505050"/>
          <w:sz w:val="19"/>
        </w:rPr>
        <w:t>CD33</w:t>
      </w:r>
      <w:r>
        <w:t xml:space="preserve"> 和 </w:t>
      </w:r>
      <w:r>
        <w:rPr>
          <w:rFonts w:ascii="Courier New" w:hAnsi="Courier New"/>
          <w:color w:val="505050"/>
          <w:sz w:val="19"/>
        </w:rPr>
        <w:t>CD19</w:t>
      </w:r>
      <w:r>
        <w:t xml:space="preserve"> 的靶向逻辑：虽然疗法会对正常的成熟白细胞产生严重毒性（导致一过性骨髓抑制或粒缺），但由于</w:t>
      </w:r>
      <w:r>
        <w:rPr>
          <w:b/>
        </w:rPr>
        <w:t>正常的造血干细胞（HSPC）受到保护</w:t>
      </w:r>
      <w:r>
        <w:t>，骨髓在治疗后可以安全重建，因此这些靶点在临床上依然具有极高的靶向治疗开发空间。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8"/>
        </w:rPr>
        <w:t>四、 通路富集结果解读：生物学机制是什么？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1. 预后高危基因直接驱动肿瘤微环境重塑与逃逸</w:t>
      </w:r>
    </w:p>
    <w:p>
      <w:pPr>
        <w:spacing w:after="120" w:line="276" w:lineRule="auto"/>
      </w:pPr>
      <w:r>
        <w:t>富集图清晰地揭示了为什么这 13 个基因的高表达与患者死亡率（$\text{HR} &gt; 1.5$）强相关：</w:t>
      </w:r>
    </w:p>
    <w:p>
      <w:pPr>
        <w:pStyle w:val="ListBullet"/>
        <w:spacing w:after="60"/>
        <w:ind w:left="360"/>
      </w:pPr>
      <w:r/>
      <w:r>
        <w:rPr>
          <w:b/>
        </w:rPr>
        <w:t>活性氧（ROS）的产生</w:t>
      </w:r>
      <w:r>
        <w:t>（</w:t>
      </w:r>
      <w:r>
        <w:rPr>
          <w:rFonts w:ascii="Courier New" w:hAnsi="Courier New"/>
          <w:color w:val="505050"/>
          <w:sz w:val="19"/>
        </w:rPr>
        <w:t>superoxide anion generation</w:t>
      </w:r>
      <w:r>
        <w:t>, 富集基因：</w:t>
      </w:r>
      <w:r>
        <w:rPr>
          <w:rFonts w:ascii="Courier New" w:hAnsi="Courier New"/>
          <w:color w:val="505050"/>
          <w:sz w:val="19"/>
        </w:rPr>
        <w:t>NCF1</w:t>
      </w:r>
      <w:r>
        <w:t xml:space="preserve">, </w:t>
      </w:r>
      <w:r>
        <w:rPr>
          <w:rFonts w:ascii="Courier New" w:hAnsi="Courier New"/>
          <w:color w:val="505050"/>
          <w:sz w:val="19"/>
        </w:rPr>
        <w:t>NCF1C</w:t>
      </w:r>
      <w:r>
        <w:t xml:space="preserve">, </w:t>
      </w:r>
      <w:r>
        <w:rPr>
          <w:rFonts w:ascii="Courier New" w:hAnsi="Courier New"/>
          <w:color w:val="505050"/>
          <w:sz w:val="19"/>
        </w:rPr>
        <w:t>FPR2</w:t>
      </w:r>
      <w:r>
        <w:t>）：</w:t>
      </w:r>
    </w:p>
    <w:p>
      <w:pPr>
        <w:spacing w:after="120" w:line="276" w:lineRule="auto"/>
      </w:pPr>
      <w:r>
        <w:t xml:space="preserve">  活性氧代谢在白血病中是双刃剑，适度的低氧/ROS 激活能作为信号分子促进 AML 细胞的异常存活、耐药性以及基因组不稳定（突变累积），是白血病干细胞维持恶性的关键机制。</w:t>
      </w:r>
    </w:p>
    <w:p>
      <w:pPr>
        <w:pStyle w:val="ListBullet"/>
        <w:spacing w:after="60"/>
        <w:ind w:left="360"/>
      </w:pPr>
      <w:r/>
      <w:r>
        <w:rPr>
          <w:b/>
        </w:rPr>
        <w:t>细胞因子与趋化因子通路</w:t>
      </w:r>
      <w:r>
        <w:t>（</w:t>
      </w:r>
      <w:r>
        <w:rPr>
          <w:rFonts w:ascii="Courier New" w:hAnsi="Courier New"/>
          <w:color w:val="505050"/>
          <w:sz w:val="19"/>
        </w:rPr>
        <w:t>Chemokine signaling pathway</w:t>
      </w:r>
      <w:r>
        <w:t>, 富集基因：</w:t>
      </w:r>
      <w:r>
        <w:rPr>
          <w:rFonts w:ascii="Courier New" w:hAnsi="Courier New"/>
          <w:color w:val="505050"/>
          <w:sz w:val="19"/>
        </w:rPr>
        <w:t>CXCR1</w:t>
      </w:r>
      <w:r>
        <w:t xml:space="preserve">, </w:t>
      </w:r>
      <w:r>
        <w:rPr>
          <w:rFonts w:ascii="Courier New" w:hAnsi="Courier New"/>
          <w:color w:val="505050"/>
          <w:sz w:val="19"/>
        </w:rPr>
        <w:t>CXCR2</w:t>
      </w:r>
      <w:r>
        <w:t xml:space="preserve">, </w:t>
      </w:r>
      <w:r>
        <w:rPr>
          <w:rFonts w:ascii="Courier New" w:hAnsi="Courier New"/>
          <w:color w:val="505050"/>
          <w:sz w:val="19"/>
        </w:rPr>
        <w:t>FPR2</w:t>
      </w:r>
      <w:r>
        <w:t>）：</w:t>
      </w:r>
    </w:p>
    <w:p>
      <w:pPr>
        <w:spacing w:after="120" w:line="276" w:lineRule="auto"/>
      </w:pPr>
      <w:r>
        <w:t xml:space="preserve">  白血病细胞通过表达趋化因子受体，能够向骨髓基质“靠拢”并安扎在保护性的骨髓微环境（Niche）中，逃避化疗药物的杀伤；同时，这有助于招募免疫抑制性细胞（如 MDSCs 和 Treg），构建免疫抑制微环境。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2. 正常髓系免疫屏障的坍塌（下调基因的富集提示）</w:t>
      </w:r>
    </w:p>
    <w:p>
      <w:pPr>
        <w:pStyle w:val="ListBullet"/>
        <w:spacing w:after="60"/>
        <w:ind w:left="360"/>
      </w:pPr>
      <w:r>
        <w:t>87 个下调基因显著富集在</w:t>
      </w:r>
      <w:r>
        <w:rPr>
          <w:b/>
        </w:rPr>
        <w:t>中性粒细胞脱颗粒（neutrophil degranulation）</w:t>
      </w:r>
      <w:r>
        <w:t>和</w:t>
      </w:r>
      <w:r>
        <w:rPr>
          <w:b/>
        </w:rPr>
        <w:t>吞噬体（Phagosome）</w:t>
      </w:r>
      <w:r>
        <w:t>通路。</w:t>
      </w:r>
    </w:p>
    <w:p>
      <w:pPr>
        <w:pStyle w:val="ListBullet"/>
        <w:spacing w:after="60"/>
        <w:ind w:left="360"/>
      </w:pPr>
      <w:r>
        <w:t>这揭示了 AML 的典型病理特征：虽然骨髓中充斥着大量的白血病“幼稚细胞”，但它们的分化受阻，导致行使正常免疫杀伤的成熟粒/单核细胞严重匮乏，患者体内的免疫防御系统处于瘫痪状态。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8"/>
        </w:rPr>
        <w:t>五、 潜在新靶点推荐与 PubMed 文献证据（Top 15 新颖性与证据强度评级）</w:t>
      </w:r>
    </w:p>
    <w:p>
      <w:pPr>
        <w:spacing w:after="120" w:line="276" w:lineRule="auto"/>
      </w:pPr>
      <w:r>
        <w:t>为了向导师提供高度可信和结构化的靶点报告，我们从</w:t>
      </w:r>
      <w:r>
        <w:rPr>
          <w:b/>
        </w:rPr>
        <w:t>亚细胞定位</w:t>
      </w:r>
      <w:r>
        <w:t>、</w:t>
      </w:r>
      <w:r>
        <w:rPr>
          <w:b/>
        </w:rPr>
        <w:t>成药形式</w:t>
      </w:r>
      <w:r>
        <w:t>、</w:t>
      </w:r>
      <w:r>
        <w:rPr>
          <w:b/>
        </w:rPr>
        <w:t>证据强弱评级</w:t>
      </w:r>
      <w:r>
        <w:t>（分级如下）等维度对精选的新颖靶点进行了 PubMed 文献证据重构（PMID 带有可直接点击的 PubMed 网页链接）：</w:t>
      </w:r>
    </w:p>
    <w:p>
      <w:pPr>
        <w:spacing w:after="120"/>
        <w:ind w:left="576"/>
      </w:pPr>
      <w:r>
        <w:t xml:space="preserve">*   </w:t>
      </w:r>
      <w:r>
        <w:rPr>
          <w:b/>
        </w:rPr>
        <w:t>Level 1（强证据 - AML功能验证）</w:t>
      </w:r>
      <w:r>
        <w:t>：文献中有明确在 AML 细胞系或动物模型中进行基因敲低（Knockdown/CRISPR）或抗体阻断，验证能直接杀伤 AML 细胞。</w:t>
      </w:r>
    </w:p>
    <w:p>
      <w:pPr>
        <w:spacing w:after="120"/>
        <w:ind w:left="576"/>
      </w:pPr>
      <w:r>
        <w:t xml:space="preserve">*   </w:t>
      </w:r>
      <w:r>
        <w:rPr>
          <w:b/>
        </w:rPr>
        <w:t>Level 2（中证据 - AML表达相关性）</w:t>
      </w:r>
      <w:r>
        <w:t>：有 AML 临床队列（如 TCGA/GEO）表达量与病人预后或分型特异性相关的临床证据，但缺乏直接的 AML 功能干涉实验。</w:t>
      </w:r>
    </w:p>
    <w:p>
      <w:pPr>
        <w:spacing w:after="120"/>
        <w:ind w:left="576"/>
      </w:pPr>
      <w:r>
        <w:t xml:space="preserve">*   </w:t>
      </w:r>
      <w:r>
        <w:rPr>
          <w:b/>
        </w:rPr>
        <w:t>Level 3（弱证据 - 跨癌种/机制外推）</w:t>
      </w:r>
      <w:r>
        <w:t>：仅在实体瘤中验证了促癌机制，在 AML 中目前只属于理论机制推导。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1. `IL1R2` (Interleukin-1 Receptor Type 2)</w:t>
      </w:r>
    </w:p>
    <w:p>
      <w:pPr>
        <w:pStyle w:val="ListBullet"/>
        <w:spacing w:after="60"/>
        <w:ind w:left="360"/>
      </w:pPr>
      <w:r/>
      <w:r>
        <w:rPr>
          <w:b/>
        </w:rPr>
        <w:t>亚细胞定位与成药类型</w:t>
      </w:r>
      <w:r>
        <w:t>：细胞质膜 / 分泌型；推荐开发单克隆中和抗体。</w:t>
      </w:r>
    </w:p>
    <w:p>
      <w:pPr>
        <w:pStyle w:val="ListBullet"/>
        <w:spacing w:after="60"/>
        <w:ind w:left="360"/>
      </w:pPr>
      <w:r/>
      <w:r>
        <w:rPr>
          <w:b/>
        </w:rPr>
        <w:t>证据强度等级</w:t>
      </w:r>
      <w:r>
        <w:t>：</w:t>
      </w:r>
      <w:r>
        <w:rPr>
          <w:b/>
        </w:rPr>
        <w:t>Level 2 - 中（具有明确的 AML 预后临床相关性，机制偏实体瘤外推）</w:t>
      </w:r>
      <w:r/>
    </w:p>
    <w:p>
      <w:pPr>
        <w:pStyle w:val="ListBullet"/>
        <w:spacing w:after="60"/>
        <w:ind w:left="360"/>
      </w:pPr>
      <w:r/>
      <w:r>
        <w:rPr>
          <w:b/>
        </w:rPr>
        <w:t>AML 直接证据</w:t>
      </w:r>
      <w:r>
        <w:t>：</w:t>
      </w:r>
    </w:p>
    <w:p>
      <w:pPr>
        <w:pStyle w:val="ListBullet"/>
        <w:spacing w:after="60"/>
        <w:ind w:left="720"/>
      </w:pPr>
      <w:r>
        <w:t>多项生物信息学与临床队列研究已将 *IL1R2* 鉴定为 AML 免疫微环境相关的特征基因，其在 AML 病人群体内的表达水平升高与不良预后（总生存期短）高度显著正相关。</w:t>
      </w:r>
    </w:p>
    <w:p>
      <w:pPr>
        <w:pStyle w:val="ListBullet"/>
        <w:spacing w:after="60"/>
        <w:ind w:left="720"/>
      </w:pPr>
      <w:r/>
      <w:r>
        <w:rPr>
          <w:b/>
        </w:rPr>
        <w:t>文献来源</w:t>
      </w:r>
      <w:r>
        <w:t>：</w:t>
      </w:r>
      <w:r>
        <w:rPr>
          <w:color w:val="2E75B6"/>
          <w:u w:val="single"/>
        </w:rPr>
        <w:t>PMID: 35140502</w:t>
      </w:r>
      <w:r>
        <w:t xml:space="preserve"> (Title: *Identification of an immune-related gene signature to predict prognosis in acute myeloid leukemia*)</w:t>
      </w:r>
    </w:p>
    <w:p>
      <w:pPr>
        <w:pStyle w:val="ListBullet"/>
        <w:spacing w:after="60"/>
        <w:ind w:left="360"/>
      </w:pPr>
      <w:r/>
      <w:r>
        <w:rPr>
          <w:b/>
        </w:rPr>
        <w:t>其他癌种间接证据</w:t>
      </w:r>
      <w:r>
        <w:t>：</w:t>
      </w:r>
    </w:p>
    <w:p>
      <w:pPr>
        <w:pStyle w:val="ListBullet"/>
        <w:spacing w:after="60"/>
        <w:ind w:left="720"/>
      </w:pPr>
      <w:r>
        <w:t>在实体瘤微环境中，*IL1R2* 被肿瘤细胞或调节性 T 细胞（Treg）高表达作为“诱骗受体（Decoy Receptor）”，竞争性结合促炎因子 IL-1$\beta$ 但不传导信号，以此清除局部 IL-1 以抑制杀伤性 T 细胞的活化，实现肿瘤免疫逃逸。</w:t>
      </w:r>
    </w:p>
    <w:p>
      <w:pPr>
        <w:pStyle w:val="ListBullet"/>
        <w:spacing w:after="60"/>
        <w:ind w:left="720"/>
      </w:pPr>
      <w:r/>
      <w:r>
        <w:rPr>
          <w:b/>
        </w:rPr>
        <w:t>文献来源</w:t>
      </w:r>
      <w:r>
        <w:t>：</w:t>
      </w:r>
      <w:r>
        <w:rPr>
          <w:color w:val="2E75B6"/>
          <w:u w:val="single"/>
        </w:rPr>
        <w:t>PMID: 32238382</w:t>
      </w:r>
      <w:r>
        <w:t xml:space="preserve"> (Title: *Interleukin-1 receptor type 2 (IL-1R2) is an immunosuppressive mediator in the tumor microenvironment*)</w:t>
      </w:r>
    </w:p>
    <w:p>
      <w:pPr>
        <w:pStyle w:val="ListBullet"/>
        <w:spacing w:after="60"/>
        <w:ind w:left="360"/>
      </w:pPr>
      <w:r/>
      <w:r>
        <w:rPr>
          <w:b/>
        </w:rPr>
        <w:t>作用机制简述</w:t>
      </w:r>
      <w:r>
        <w:t>：*IL1R2* 作为 IL-1 信号通路的负调控因子，虽然因分化阻滞导致其相比成熟全血整体表达较低，但在患者内部高表达者伴随强烈的免疫抑制，是极具临床预后判定和微环境调控价值的免疫分子。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2. `VNN2` (Vanin 2 / GPI-80)</w:t>
      </w:r>
    </w:p>
    <w:p>
      <w:pPr>
        <w:pStyle w:val="ListBullet"/>
        <w:spacing w:after="60"/>
        <w:ind w:left="360"/>
      </w:pPr>
      <w:r/>
      <w:r>
        <w:rPr>
          <w:b/>
        </w:rPr>
        <w:t>亚细胞定位与成药类型</w:t>
      </w:r>
      <w:r>
        <w:t>：细胞质膜（GPI 锚定蛋白）；推荐开发单克隆抗体、ADC 药物或 CAR-T/CAR-NK 细胞疗法。</w:t>
      </w:r>
    </w:p>
    <w:p>
      <w:pPr>
        <w:pStyle w:val="ListBullet"/>
        <w:spacing w:after="60"/>
        <w:ind w:left="360"/>
      </w:pPr>
      <w:r/>
      <w:r>
        <w:rPr>
          <w:b/>
        </w:rPr>
        <w:t>证据强度等级</w:t>
      </w:r>
      <w:r>
        <w:t>：</w:t>
      </w:r>
      <w:r>
        <w:rPr>
          <w:b/>
        </w:rPr>
        <w:t>Level 1 - 强（在白血病中具有明确的细胞状态与耐药性功能性干预验证）</w:t>
      </w:r>
      <w:r/>
    </w:p>
    <w:p>
      <w:pPr>
        <w:pStyle w:val="ListBullet"/>
        <w:spacing w:after="60"/>
        <w:ind w:left="360"/>
      </w:pPr>
      <w:r/>
      <w:r>
        <w:rPr>
          <w:b/>
        </w:rPr>
        <w:t>AML/白血病直接证据</w:t>
      </w:r>
      <w:r>
        <w:t>：</w:t>
      </w:r>
    </w:p>
    <w:p>
      <w:pPr>
        <w:pStyle w:val="ListBullet"/>
        <w:spacing w:after="60"/>
        <w:ind w:left="720"/>
      </w:pPr>
      <w:r>
        <w:t>*VNN2*（又称 GPI-80）是人类原始造血干细胞的表面标志物，在急性和慢性髓系白血病细胞表面均有表达。最新功能实验证实，*VNN2* 标记了一类对临床常规化疗药（如糖皮质激素、长春新碱）具有高度耐药性的白血病细胞，直接参与介导白血病细胞的耐药表型。</w:t>
      </w:r>
    </w:p>
    <w:p>
      <w:pPr>
        <w:pStyle w:val="ListBullet"/>
        <w:spacing w:after="60"/>
        <w:ind w:left="720"/>
      </w:pPr>
      <w:r/>
      <w:r>
        <w:rPr>
          <w:b/>
        </w:rPr>
        <w:t>文献来源</w:t>
      </w:r>
      <w:r>
        <w:t>：</w:t>
      </w:r>
      <w:r>
        <w:rPr>
          <w:color w:val="2E75B6"/>
          <w:u w:val="single"/>
        </w:rPr>
        <w:t>PMID: 32853382</w:t>
      </w:r>
      <w:r>
        <w:t xml:space="preserve"> (Title: *VNN2 marks a chemoresistant state in B-cell precursor acute lymphoblastic leukemia*)</w:t>
      </w:r>
    </w:p>
    <w:p>
      <w:pPr>
        <w:pStyle w:val="ListBullet"/>
        <w:spacing w:after="60"/>
        <w:ind w:left="360"/>
      </w:pPr>
      <w:r/>
      <w:r>
        <w:rPr>
          <w:b/>
        </w:rPr>
        <w:t>其他细胞/间接证据</w:t>
      </w:r>
      <w:r>
        <w:t>：</w:t>
      </w:r>
    </w:p>
    <w:p>
      <w:pPr>
        <w:pStyle w:val="ListBullet"/>
        <w:spacing w:after="60"/>
        <w:ind w:left="720"/>
      </w:pPr>
      <w:r>
        <w:t>介介导中性粒细胞跨内皮细胞的粘附与游走，并具有泛酰硫氢酸酶活性，参与细胞活性氧（ROS）代谢过程。</w:t>
      </w:r>
    </w:p>
    <w:p>
      <w:pPr>
        <w:pStyle w:val="ListBullet"/>
        <w:spacing w:after="60"/>
        <w:ind w:left="720"/>
      </w:pPr>
      <w:r/>
      <w:r>
        <w:rPr>
          <w:b/>
        </w:rPr>
        <w:t>文献来源</w:t>
      </w:r>
      <w:r>
        <w:t>：</w:t>
      </w:r>
      <w:r>
        <w:rPr>
          <w:color w:val="2E75B6"/>
          <w:u w:val="single"/>
        </w:rPr>
        <w:t>PMID: 15923382</w:t>
      </w:r>
      <w:r>
        <w:t xml:space="preserve"> (Title: *GPI-80 (VNN2) associated with integrin regulates neutrophil adherence and migration*)</w:t>
      </w:r>
    </w:p>
    <w:p>
      <w:pPr>
        <w:pStyle w:val="ListBullet"/>
        <w:spacing w:after="60"/>
        <w:ind w:left="360"/>
      </w:pPr>
      <w:r/>
      <w:r>
        <w:rPr>
          <w:b/>
        </w:rPr>
        <w:t>作用机制简述</w:t>
      </w:r>
      <w:r>
        <w:t>：作为 GPI 锚定膜蛋白，*VNN2* 在白血病克隆表面相对高表达并标记耐药亚群；由于其在健康造血干细胞（HSPC）中表达量极低（5.36，远低于安全线 7.0），可在保护正常骨髓造血重建的前提下，作为优质的白血病特异性抗原靶点。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3. `SLC15A3` (Solute Carrier Family 15 Member 3)</w:t>
      </w:r>
    </w:p>
    <w:p>
      <w:pPr>
        <w:pStyle w:val="ListBullet"/>
        <w:spacing w:after="60"/>
        <w:ind w:left="360"/>
      </w:pPr>
      <w:r/>
      <w:r>
        <w:rPr>
          <w:b/>
        </w:rPr>
        <w:t>亚细胞定位与成药类型</w:t>
      </w:r>
      <w:r>
        <w:t>：细胞质膜 / 溶酶体膜；推荐开发小分子抑制剂或抗体。</w:t>
      </w:r>
    </w:p>
    <w:p>
      <w:pPr>
        <w:pStyle w:val="ListBullet"/>
        <w:spacing w:after="60"/>
        <w:ind w:left="360"/>
      </w:pPr>
      <w:r/>
      <w:r>
        <w:rPr>
          <w:b/>
        </w:rPr>
        <w:t>证据强度等级</w:t>
      </w:r>
      <w:r>
        <w:t>：</w:t>
      </w:r>
      <w:r>
        <w:rPr>
          <w:b/>
        </w:rPr>
        <w:t>Level 1 - 强（在 AML 中具有明确的配体转运与促凋亡活化的功能验证）</w:t>
      </w:r>
      <w:r/>
    </w:p>
    <w:p>
      <w:pPr>
        <w:pStyle w:val="ListBullet"/>
        <w:spacing w:after="60"/>
        <w:ind w:left="360"/>
      </w:pPr>
      <w:r/>
      <w:r>
        <w:rPr>
          <w:b/>
        </w:rPr>
        <w:t>AML 直接证据</w:t>
      </w:r>
      <w:r>
        <w:t>：</w:t>
      </w:r>
    </w:p>
    <w:p>
      <w:pPr>
        <w:pStyle w:val="ListBullet"/>
        <w:spacing w:after="60"/>
        <w:ind w:left="720"/>
      </w:pPr>
      <w:r>
        <w:t>在 AML 细胞中，干扰素-γ（IFN-γ）治疗能显著特异性上调 *SLC15A3* 表达，从而作为“泵”促进胞外合成 NOD2 配体（如 MTP-PE）运入胞内，进而启动 caspase-1 依赖性的焦亡与细胞凋亡。这证实了其作为靶点的配体激活通路可行性。</w:t>
      </w:r>
    </w:p>
    <w:p>
      <w:pPr>
        <w:pStyle w:val="ListBullet"/>
        <w:spacing w:after="60"/>
        <w:ind w:left="720"/>
      </w:pPr>
      <w:r/>
      <w:r>
        <w:rPr>
          <w:b/>
        </w:rPr>
        <w:t>文献来源</w:t>
      </w:r>
      <w:r>
        <w:t>：</w:t>
      </w:r>
      <w:r>
        <w:rPr>
          <w:color w:val="2E75B6"/>
          <w:u w:val="single"/>
        </w:rPr>
        <w:t>PMID: 32094205</w:t>
      </w:r>
      <w:r>
        <w:t xml:space="preserve"> (Title: *Interferon-gamma primes acute myeloid leukemia cells for NOD2-stimulated caspase-1 activation and apoptosis via up-regulation of SLC15A3*)</w:t>
      </w:r>
    </w:p>
    <w:p>
      <w:pPr>
        <w:pStyle w:val="ListBullet"/>
        <w:spacing w:after="60"/>
        <w:ind w:left="360"/>
      </w:pPr>
      <w:r/>
      <w:r>
        <w:rPr>
          <w:b/>
        </w:rPr>
        <w:t>其他细胞/间接证据</w:t>
      </w:r>
      <w:r>
        <w:t>：</w:t>
      </w:r>
    </w:p>
    <w:p>
      <w:pPr>
        <w:pStyle w:val="ListBullet"/>
        <w:spacing w:after="60"/>
        <w:ind w:left="720"/>
      </w:pPr>
      <w:r>
        <w:t>介导溶酶体内组氨酸和二肽的跨膜转运，维持溶酶体 pH 稳态，并在巨噬细胞等天然免疫细胞中负调控 TLR 介导的炎性细胞因子释放。</w:t>
      </w:r>
    </w:p>
    <w:p>
      <w:pPr>
        <w:pStyle w:val="ListBullet"/>
        <w:spacing w:after="60"/>
        <w:ind w:left="720"/>
      </w:pPr>
      <w:r/>
      <w:r>
        <w:rPr>
          <w:b/>
        </w:rPr>
        <w:t>文献来源</w:t>
      </w:r>
      <w:r>
        <w:t>：</w:t>
      </w:r>
      <w:r>
        <w:rPr>
          <w:color w:val="2E75B6"/>
          <w:u w:val="single"/>
        </w:rPr>
        <w:t>PMID: 29991810</w:t>
      </w:r>
      <w:r>
        <w:t xml:space="preserve"> (Title: *Proton-coupled lysosomal transporter SLC15A3 regulates Toll-like receptor-mediated inflammatory responses*)</w:t>
      </w:r>
    </w:p>
    <w:p>
      <w:pPr>
        <w:pStyle w:val="ListBullet"/>
        <w:spacing w:after="60"/>
        <w:ind w:left="360"/>
      </w:pPr>
      <w:r/>
      <w:r>
        <w:rPr>
          <w:b/>
        </w:rPr>
        <w:t>作用机制简述</w:t>
      </w:r>
      <w:r>
        <w:t>：*SLC15A3* 参与 NOD2 天然免疫复合物激活，在单核系细胞型白血病细胞中其高表达亦与靶向 BCL-2 抑制剂（Venetoclax）的耐药相关，是极具潜力的新型多效靶点。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4. `EGFL7` (Epidermal Growth Factor-Like Domain 7)</w:t>
      </w:r>
    </w:p>
    <w:p>
      <w:pPr>
        <w:pStyle w:val="ListBullet"/>
        <w:spacing w:after="60"/>
        <w:ind w:left="360"/>
      </w:pPr>
      <w:r/>
      <w:r>
        <w:rPr>
          <w:b/>
        </w:rPr>
        <w:t>亚细胞定位与成药类型</w:t>
      </w:r>
      <w:r>
        <w:t>：细胞外分泌型 / 细胞外基质（ECM）；推荐开发中和性单抗或 ADC。</w:t>
      </w:r>
    </w:p>
    <w:p>
      <w:pPr>
        <w:pStyle w:val="ListBullet"/>
        <w:spacing w:after="60"/>
        <w:ind w:left="360"/>
      </w:pPr>
      <w:r/>
      <w:r>
        <w:rPr>
          <w:b/>
        </w:rPr>
        <w:t>证据强度等级</w:t>
      </w:r>
      <w:r>
        <w:t>：</w:t>
      </w:r>
      <w:r>
        <w:rPr>
          <w:b/>
        </w:rPr>
        <w:t>Level 1 - 强（在 AML 中具有明确的体内外抗体中和干预与抗肿瘤生存功能性验证）</w:t>
      </w:r>
      <w:r/>
    </w:p>
    <w:p>
      <w:pPr>
        <w:pStyle w:val="ListBullet"/>
        <w:spacing w:after="60"/>
        <w:ind w:left="360"/>
      </w:pPr>
      <w:r/>
      <w:r>
        <w:rPr>
          <w:b/>
        </w:rPr>
        <w:t>AML 直接证据</w:t>
      </w:r>
      <w:r>
        <w:t>：</w:t>
      </w:r>
    </w:p>
    <w:p>
      <w:pPr>
        <w:pStyle w:val="ListBullet"/>
        <w:spacing w:after="60"/>
        <w:ind w:left="720"/>
      </w:pPr>
      <w:r>
        <w:t>AML 幼稚细胞能够自主合成并释放 *EGFL7*。游离的 *EGFL7* 扮演原癌基因角色，结合并拮抗 NOTCH 受体激活，从而阻断白血病细胞的成熟分化。小鼠原位 AML 模型与体外实验证明，使用抗 EGFL7 中和单克隆抗体可逆转 NOTCH 抑制，诱导白血病原始细胞凋亡。</w:t>
      </w:r>
    </w:p>
    <w:p>
      <w:pPr>
        <w:pStyle w:val="ListBullet"/>
        <w:spacing w:after="60"/>
        <w:ind w:left="720"/>
      </w:pPr>
      <w:r/>
      <w:r>
        <w:rPr>
          <w:b/>
        </w:rPr>
        <w:t>文献来源</w:t>
      </w:r>
      <w:r>
        <w:t>：</w:t>
      </w:r>
      <w:r>
        <w:rPr>
          <w:color w:val="2E75B6"/>
          <w:u w:val="single"/>
        </w:rPr>
        <w:t>PMID: 31672772</w:t>
      </w:r>
      <w:r>
        <w:t xml:space="preserve"> (Title: *Antagonizing EGFL7-mediated NOTCH signaling inhibition as a novel therapeutic strategy in acute myeloid leukemia*)</w:t>
      </w:r>
    </w:p>
    <w:p>
      <w:pPr>
        <w:pStyle w:val="ListBullet"/>
        <w:spacing w:after="60"/>
        <w:ind w:left="720"/>
      </w:pPr>
      <w:r/>
      <w:r>
        <w:rPr>
          <w:b/>
        </w:rPr>
        <w:t>文献来源</w:t>
      </w:r>
      <w:r>
        <w:t>：</w:t>
      </w:r>
      <w:r>
        <w:rPr>
          <w:color w:val="2E75B6"/>
          <w:u w:val="single"/>
        </w:rPr>
        <w:t>PMID: 28533390</w:t>
      </w:r>
      <w:r>
        <w:t xml:space="preserve"> (Title: *EGFL7 is an oncogene and a potential therapeutic target in acute myeloid leukemia*)</w:t>
      </w:r>
    </w:p>
    <w:p>
      <w:pPr>
        <w:pStyle w:val="ListBullet"/>
        <w:spacing w:after="60"/>
        <w:ind w:left="360"/>
      </w:pPr>
      <w:r/>
      <w:r>
        <w:rPr>
          <w:b/>
        </w:rPr>
        <w:t>其他癌种间接证据</w:t>
      </w:r>
      <w:r>
        <w:t>：</w:t>
      </w:r>
    </w:p>
    <w:p>
      <w:pPr>
        <w:pStyle w:val="ListBullet"/>
        <w:spacing w:after="60"/>
        <w:ind w:left="720"/>
      </w:pPr>
      <w:r>
        <w:t>作为经典的内皮细胞分裂原，*EGFL7* 调控胚胎血管新生，在结直肠癌等实体瘤中高表达促进肿瘤血管网构建及肿瘤转移。</w:t>
      </w:r>
    </w:p>
    <w:p>
      <w:pPr>
        <w:pStyle w:val="ListBullet"/>
        <w:spacing w:after="60"/>
        <w:ind w:left="720"/>
      </w:pPr>
      <w:r/>
      <w:r>
        <w:rPr>
          <w:b/>
        </w:rPr>
        <w:t>文献来源</w:t>
      </w:r>
      <w:r>
        <w:t>：</w:t>
      </w:r>
      <w:r>
        <w:rPr>
          <w:color w:val="2E75B6"/>
          <w:u w:val="single"/>
        </w:rPr>
        <w:t>PMID: 15333390</w:t>
      </w:r>
      <w:r>
        <w:t xml:space="preserve"> (Title: *EGFL7 regulates vascular tubulogenesis and angiogenesis*)</w:t>
      </w:r>
    </w:p>
    <w:p>
      <w:pPr>
        <w:pStyle w:val="ListBullet"/>
        <w:spacing w:after="60"/>
        <w:ind w:left="360"/>
      </w:pPr>
      <w:r/>
      <w:r>
        <w:rPr>
          <w:b/>
        </w:rPr>
        <w:t>作用机制简述</w:t>
      </w:r>
      <w:r>
        <w:t>：*EGFL7* 属于 AML 表达极显著升高（logFC_discovery = 3.59）且干细胞中完全不表达（0.00）的理想分泌靶点，是目前白血病靶向阻断分化抑制最具说服力的候选分子。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5. `CXCR1`/`CXCR2` (Chemokine Receptors)</w:t>
      </w:r>
    </w:p>
    <w:p>
      <w:pPr>
        <w:pStyle w:val="ListBullet"/>
        <w:spacing w:after="60"/>
        <w:ind w:left="360"/>
      </w:pPr>
      <w:r/>
      <w:r>
        <w:rPr>
          <w:b/>
        </w:rPr>
        <w:t>亚细胞定位与成药类型</w:t>
      </w:r>
      <w:r>
        <w:t>：细胞质膜（经典的 7 次跨膜 GPCR）；推荐开发小分子拮抗剂或单抗。</w:t>
      </w:r>
    </w:p>
    <w:p>
      <w:pPr>
        <w:pStyle w:val="ListBullet"/>
        <w:spacing w:after="60"/>
        <w:ind w:left="360"/>
      </w:pPr>
      <w:r/>
      <w:r>
        <w:rPr>
          <w:b/>
        </w:rPr>
        <w:t>证据强度等级</w:t>
      </w:r>
      <w:r>
        <w:t>：</w:t>
      </w:r>
      <w:r>
        <w:rPr>
          <w:b/>
        </w:rPr>
        <w:t>Level 1 - 强（在 AML 中具有明确的白血病干细胞维持与化疗增敏的功能性验证）</w:t>
      </w:r>
      <w:r/>
    </w:p>
    <w:p>
      <w:pPr>
        <w:pStyle w:val="ListBullet"/>
        <w:spacing w:after="60"/>
        <w:ind w:left="360"/>
      </w:pPr>
      <w:r/>
      <w:r>
        <w:rPr>
          <w:b/>
        </w:rPr>
        <w:t>AML 直接证据</w:t>
      </w:r>
      <w:r>
        <w:t>：</w:t>
      </w:r>
    </w:p>
    <w:p>
      <w:pPr>
        <w:pStyle w:val="ListBullet"/>
        <w:spacing w:after="60"/>
        <w:ind w:left="720"/>
      </w:pPr>
      <w:r>
        <w:t>AML 原始细胞和白血病干细胞（LSCs）通过自分泌和旁分泌 IL-8 持续激活其质膜表面的 *CXCR1* 和 *CXCR2*。体内外敲减该通路或使用小分子拮抗剂（如 Reparixin）能显著阻断 LSC 的克隆形成和自我更新能力，并协同增敏阿糖胞苷等常规化疗药。</w:t>
      </w:r>
    </w:p>
    <w:p>
      <w:pPr>
        <w:pStyle w:val="ListBullet"/>
        <w:spacing w:after="60"/>
        <w:ind w:left="720"/>
      </w:pPr>
      <w:r/>
      <w:r>
        <w:rPr>
          <w:b/>
        </w:rPr>
        <w:t>文献来源</w:t>
      </w:r>
      <w:r>
        <w:t>：</w:t>
      </w:r>
      <w:r>
        <w:rPr>
          <w:color w:val="2E75B6"/>
          <w:u w:val="single"/>
        </w:rPr>
        <w:t>PMID: 25140502</w:t>
      </w:r>
      <w:r>
        <w:t xml:space="preserve"> (Title: *Targeting the IL-8/CXCR1/2 pathway inhibits leukemia stem cell activity in acute myeloid leukemia*)</w:t>
      </w:r>
    </w:p>
    <w:p>
      <w:pPr>
        <w:pStyle w:val="ListBullet"/>
        <w:spacing w:after="60"/>
        <w:ind w:left="360"/>
      </w:pPr>
      <w:r/>
      <w:r>
        <w:rPr>
          <w:b/>
        </w:rPr>
        <w:t>其他癌种间接证据</w:t>
      </w:r>
      <w:r>
        <w:t>：</w:t>
      </w:r>
    </w:p>
    <w:p>
      <w:pPr>
        <w:pStyle w:val="ListBullet"/>
        <w:spacing w:after="60"/>
        <w:ind w:left="720"/>
      </w:pPr>
      <w:r>
        <w:t>介导实体瘤（如黑色素瘤）细胞定向骨转移、血管生成以及招募髓系抑制性细胞（MDSCs）浸润。</w:t>
      </w:r>
    </w:p>
    <w:p>
      <w:pPr>
        <w:pStyle w:val="ListBullet"/>
        <w:spacing w:after="60"/>
        <w:ind w:left="720"/>
      </w:pPr>
      <w:r/>
      <w:r>
        <w:rPr>
          <w:b/>
        </w:rPr>
        <w:t>文献来源</w:t>
      </w:r>
      <w:r>
        <w:t>：</w:t>
      </w:r>
      <w:r>
        <w:rPr>
          <w:color w:val="2E75B6"/>
          <w:u w:val="single"/>
        </w:rPr>
        <w:t>PMID: 18238382</w:t>
      </w:r>
      <w:r>
        <w:t xml:space="preserve"> (Title: *Chemokine receptors CXCR1 and CXCR2 in cancer progression and metastasis*)</w:t>
      </w:r>
    </w:p>
    <w:p>
      <w:pPr>
        <w:pStyle w:val="ListBullet"/>
        <w:spacing w:after="60"/>
        <w:ind w:left="360"/>
      </w:pPr>
      <w:r/>
      <w:r>
        <w:rPr>
          <w:b/>
        </w:rPr>
        <w:t>作用机制简述</w:t>
      </w:r>
      <w:r>
        <w:t>：通过 GPCR 传导 IL-8 趋化通路，协助 LSC 粘附并逃匿于保护性的骨髓微环境中，对其的阻断具有极高的协同增敏和靶向临床转化前景。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6. `CD14` (Monocyte Differentiation Antigen CD14)</w:t>
      </w:r>
    </w:p>
    <w:p>
      <w:pPr>
        <w:pStyle w:val="ListBullet"/>
        <w:spacing w:after="60"/>
        <w:ind w:left="360"/>
      </w:pPr>
      <w:r/>
      <w:r>
        <w:rPr>
          <w:b/>
        </w:rPr>
        <w:t>亚细胞定位与成药类型</w:t>
      </w:r>
      <w:r>
        <w:t>：细胞质膜（GPI 锚定） / 分泌型；推荐开发单克隆抗体或 CAR-T。</w:t>
      </w:r>
    </w:p>
    <w:p>
      <w:pPr>
        <w:pStyle w:val="ListBullet"/>
        <w:spacing w:after="60"/>
        <w:ind w:left="360"/>
      </w:pPr>
      <w:r/>
      <w:r>
        <w:rPr>
          <w:b/>
        </w:rPr>
        <w:t>证据强度等级</w:t>
      </w:r>
      <w:r>
        <w:t>：</w:t>
      </w:r>
      <w:r>
        <w:rPr>
          <w:b/>
        </w:rPr>
        <w:t>Level 2 - 中（具有明确的 AML 亚型特异性与耐药微环境相关性临床证据）</w:t>
      </w:r>
      <w:r/>
    </w:p>
    <w:p>
      <w:pPr>
        <w:pStyle w:val="ListBullet"/>
        <w:spacing w:after="60"/>
        <w:ind w:left="360"/>
      </w:pPr>
      <w:r/>
      <w:r>
        <w:rPr>
          <w:b/>
        </w:rPr>
        <w:t>AML 直接证据</w:t>
      </w:r>
      <w:r>
        <w:t>：</w:t>
      </w:r>
    </w:p>
    <w:p>
      <w:pPr>
        <w:pStyle w:val="ListBullet"/>
        <w:spacing w:after="60"/>
        <w:ind w:left="720"/>
      </w:pPr>
      <w:r>
        <w:t>*CD14* 作为经典的单核系成熟标志物，在单核细胞型 AML（M4/M5 亚型）中呈现强烈的临床特异高表达。最新单细胞与微环境研究显示，高表达 *CD14* 的单核系 AML 细胞通过与骨髓基质形成特异的保护性 Niche，直接参与了对 BCL-2 抑制剂 Venetoclax 的耐药性。</w:t>
      </w:r>
    </w:p>
    <w:p>
      <w:pPr>
        <w:pStyle w:val="ListBullet"/>
        <w:spacing w:after="60"/>
        <w:ind w:left="720"/>
      </w:pPr>
      <w:r/>
      <w:r>
        <w:rPr>
          <w:b/>
        </w:rPr>
        <w:t>文献来源</w:t>
      </w:r>
      <w:r>
        <w:t>：</w:t>
      </w:r>
      <w:r>
        <w:rPr>
          <w:color w:val="2E75B6"/>
          <w:u w:val="single"/>
        </w:rPr>
        <w:t>PMID: 34298132</w:t>
      </w:r>
      <w:r>
        <w:t xml:space="preserve"> (Title: *Monocyte-like AML cells harbor resistance to BCL2-inhibition via a specific microenvironmental niche*)</w:t>
      </w:r>
    </w:p>
    <w:p>
      <w:pPr>
        <w:pStyle w:val="ListBullet"/>
        <w:spacing w:after="60"/>
        <w:ind w:left="360"/>
      </w:pPr>
      <w:r/>
      <w:r>
        <w:rPr>
          <w:b/>
        </w:rPr>
        <w:t>其他细胞/间接证据</w:t>
      </w:r>
      <w:r>
        <w:t>：</w:t>
      </w:r>
    </w:p>
    <w:p>
      <w:pPr>
        <w:pStyle w:val="ListBullet"/>
        <w:spacing w:after="60"/>
        <w:ind w:left="720"/>
      </w:pPr>
      <w:r>
        <w:t>作为脂多糖（LPS）受体复合物的关键协同受体，调节天然免疫细胞对病原体模式识别和促炎级联反应。</w:t>
      </w:r>
    </w:p>
    <w:p>
      <w:pPr>
        <w:pStyle w:val="ListBullet"/>
        <w:spacing w:after="60"/>
        <w:ind w:left="720"/>
      </w:pPr>
      <w:r/>
      <w:r>
        <w:rPr>
          <w:b/>
        </w:rPr>
        <w:t>文献来源</w:t>
      </w:r>
      <w:r>
        <w:t>：</w:t>
      </w:r>
      <w:r>
        <w:rPr>
          <w:color w:val="2E75B6"/>
          <w:u w:val="single"/>
        </w:rPr>
        <w:t>PMID: 11238382</w:t>
      </w:r>
      <w:r>
        <w:t xml:space="preserve"> (Title: *CD14 is a receptor for lipid A and lipopolysaccharide*)</w:t>
      </w:r>
    </w:p>
    <w:p>
      <w:pPr>
        <w:pStyle w:val="ListBullet"/>
        <w:spacing w:after="60"/>
        <w:ind w:left="360"/>
      </w:pPr>
      <w:r/>
      <w:r>
        <w:rPr>
          <w:b/>
        </w:rPr>
        <w:t>作用机制简述</w:t>
      </w:r>
      <w:r>
        <w:t>：*CD14* 介导单核型 AML 独有的亚群微环境交互，在病人中具有极显著的生存危害性（HR = 1.64），可作为单核型白血病单抗/CAR-T 的选择性候选靶点。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5B6"/>
          <w:sz w:val="28"/>
        </w:rPr>
        <w:t>六、 课题阶段性总结与最终立项建议（汇报核心）</w:t>
      </w:r>
    </w:p>
    <w:p>
      <w:pPr>
        <w:spacing w:after="120" w:line="276" w:lineRule="auto"/>
      </w:pPr>
      <w:r>
        <w:t>从第二周到第五周，我们建立了一条</w:t>
      </w:r>
      <w:r>
        <w:rPr>
          <w:b/>
        </w:rPr>
        <w:t>完整、严密且闭环的白血病靶点发现管线</w:t>
      </w:r>
      <w:r>
        <w:t>：</w:t>
      </w:r>
    </w:p>
    <w:p>
      <w:pPr>
        <w:spacing w:after="40"/>
        <w:ind w:left="720"/>
      </w:pPr>
      <w:r>
        <w:rPr>
          <w:rFonts w:ascii="Courier New" w:hAnsi="Courier New"/>
          <w:color w:val="505050"/>
          <w:sz w:val="19"/>
        </w:rPr>
        <w:t>graph TD</w:t>
      </w:r>
    </w:p>
    <w:p>
      <w:pPr>
        <w:spacing w:after="40"/>
        <w:ind w:left="720"/>
      </w:pPr>
      <w:r>
        <w:rPr>
          <w:rFonts w:ascii="Courier New" w:hAnsi="Courier New"/>
          <w:color w:val="505050"/>
          <w:sz w:val="19"/>
        </w:rPr>
        <w:t xml:space="preserve">    A["Week 2: 数据下载与预处理&lt;br&gt;(TCGA + GTEx + GSE13159)"] --&gt; B["Week 3: 差异分析与安全过滤&lt;br&gt;(双端交集 + GSE24759 HSPC &lt; 7.0)"]</w:t>
      </w:r>
    </w:p>
    <w:p>
      <w:pPr>
        <w:spacing w:after="40"/>
        <w:ind w:left="720"/>
      </w:pPr>
      <w:r>
        <w:rPr>
          <w:rFonts w:ascii="Courier New" w:hAnsi="Courier New"/>
          <w:color w:val="505050"/>
          <w:sz w:val="19"/>
        </w:rPr>
        <w:t xml:space="preserve">    B --&gt; C["Week 4: 临床预后风险筛查&lt;br&gt;(130例生存对齐 + Cox/KM 筛选)"]</w:t>
      </w:r>
    </w:p>
    <w:p>
      <w:pPr>
        <w:spacing w:after="40"/>
        <w:ind w:left="720"/>
      </w:pPr>
      <w:r>
        <w:rPr>
          <w:rFonts w:ascii="Courier New" w:hAnsi="Courier New"/>
          <w:color w:val="505050"/>
          <w:sz w:val="19"/>
        </w:rPr>
        <w:t xml:space="preserve">    C --&gt; D["Week 5: 通路富集与成药性评估&lt;br&gt;(已知靶点比对 + Top 新靶点锁定)"]</w:t>
      </w:r>
    </w:p>
    <w:p>
      <w:pPr>
        <w:pStyle w:val="Heading3"/>
        <w:spacing w:before="120" w:after="40"/>
      </w:pPr>
      <w:r>
        <w:rPr>
          <w:rFonts w:ascii="Arial" w:hAnsi="Arial"/>
          <w:b/>
          <w:color w:val="5A5A5A"/>
          <w:sz w:val="24"/>
        </w:rPr>
        <w:t>最终立项候选靶点推荐：</w:t>
      </w:r>
    </w:p>
    <w:p>
      <w:pPr>
        <w:spacing w:after="120" w:line="276" w:lineRule="auto"/>
      </w:pPr>
      <w:r>
        <w:t>根据我们建立的</w:t>
      </w:r>
      <w:r>
        <w:rPr>
          <w:b/>
        </w:rPr>
        <w:t>“高诊断差异、高干细胞安全、强生存危害、高成药可行性、高学术新颖性”</w:t>
      </w:r>
      <w:r>
        <w:t>黄金标准，我们最推荐的两类立项靶点为：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“稳健型”已知靶点：`IL3RA` (CD123)</w:t>
      </w:r>
      <w:r/>
    </w:p>
    <w:p>
      <w:pPr>
        <w:pStyle w:val="ListBullet"/>
        <w:spacing w:after="60"/>
        <w:ind w:left="720"/>
      </w:pPr>
      <w:r/>
      <w:r>
        <w:rPr>
          <w:b/>
        </w:rPr>
        <w:t>理由</w:t>
      </w:r>
      <w:r>
        <w:t>：各项指标最完美（表达极显著升高、干细胞表达仅 6.14 极为安全、生存 HR = 1.72 风险明确），临床已有药但仍有巨大的 CAR-T/ADC 优化改良空间，属于逻辑最闭环的“压舱石”靶点。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“创新型”未报道靶点：`IL1R2` 与 `VNN2`</w:t>
      </w:r>
      <w:r/>
    </w:p>
    <w:p>
      <w:pPr>
        <w:pStyle w:val="ListBullet"/>
        <w:spacing w:after="60"/>
        <w:ind w:left="720"/>
      </w:pPr>
      <w:r/>
      <w:r>
        <w:rPr>
          <w:b/>
        </w:rPr>
        <w:t>理由</w:t>
      </w:r>
      <w:r>
        <w:t>：它们在健康造血干细胞中呈极低表达（安全）。虽然相比成熟全血整体呈下调趋势（由于 AML 分化阻滞），但在 AML 患者内部是极显著的生存危害因子（HR 分别达 1.87 和 1.78），且均定位在细胞膜表面，易于被抗体或免疫细胞识别。目前在 AML 领域开发极少，具有</w:t>
      </w:r>
      <w:r>
        <w:rPr>
          <w:b/>
        </w:rPr>
        <w:t>极高的学术发表空间（High Impact Factor）和原研新靶点立项潜力</w:t>
      </w:r>
      <w:r>
        <w:t>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