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Arial" w:hAnsi="Arial"/>
          <w:b/>
          <w:color w:val="1F4E79"/>
          <w:sz w:val="36"/>
        </w:rPr>
        <w:t>组会汇报文稿：急性髓系白血病（AML）多中心转录组数据预处理与标准化工作汇报</w:t>
      </w:r>
    </w:p>
    <w:p>
      <w:pPr>
        <w:spacing w:after="120" w:line="276" w:lineRule="auto"/>
      </w:pPr>
      <w:r>
        <w:t xml:space="preserve">本周工作聚焦于 </w:t>
      </w:r>
      <w:r>
        <w:rPr>
          <w:b/>
        </w:rPr>
        <w:t>AML 发现集（Discovery Cohort）与独立验证集（Validation Cohort）的数据下载、清洗、基因标识符规范化及管道模块化重构</w:t>
      </w:r>
      <w:r>
        <w:t>。以下为本次组会汇报的整理文稿：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8"/>
        </w:rPr>
        <w:t>汇报大纲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Slide 1: 研究背景与本周目标 (Background &amp; Objectives)</w:t>
      </w:r>
    </w:p>
    <w:p>
      <w:pPr>
        <w:pStyle w:val="ListBullet"/>
        <w:spacing w:after="60"/>
        <w:ind w:left="360"/>
      </w:pPr>
      <w:r/>
      <w:r>
        <w:rPr>
          <w:b/>
        </w:rPr>
        <w:t>研究背景</w:t>
      </w:r>
      <w:r>
        <w:t>：</w:t>
      </w:r>
    </w:p>
    <w:p>
      <w:pPr>
        <w:spacing w:after="120" w:line="276" w:lineRule="auto"/>
      </w:pPr>
      <w:r>
        <w:t xml:space="preserve">  为了构建高可信度的 AML 疾病特征图谱，需要将 </w:t>
      </w:r>
      <w:r>
        <w:rPr>
          <w:b/>
        </w:rPr>
        <w:t>TCGA-LAML</w:t>
      </w:r>
      <w:r>
        <w:t xml:space="preserve">（疾病组）与 </w:t>
      </w:r>
      <w:r>
        <w:rPr>
          <w:b/>
        </w:rPr>
        <w:t>GTEx Normal Controls</w:t>
      </w:r>
      <w:r>
        <w:t xml:space="preserve">（正常对照组）进行整合，形成发现集。同时引入大样本微阵列芯片数据集 </w:t>
      </w:r>
      <w:r>
        <w:rPr>
          <w:b/>
        </w:rPr>
        <w:t>GSE13159 (MILE Study)</w:t>
      </w:r>
      <w:r>
        <w:t xml:space="preserve"> 作为独立验证集。</w:t>
      </w:r>
    </w:p>
    <w:p>
      <w:pPr>
        <w:pStyle w:val="ListBullet"/>
        <w:spacing w:after="60"/>
        <w:ind w:left="360"/>
      </w:pPr>
      <w:r/>
      <w:r>
        <w:rPr>
          <w:b/>
        </w:rPr>
        <w:t>面临挑战</w:t>
      </w:r>
      <w:r>
        <w:t>：</w:t>
      </w:r>
    </w:p>
    <w:p>
      <w:pPr>
        <w:pStyle w:val="ListBullet"/>
        <w:spacing w:after="60"/>
        <w:ind w:left="720"/>
      </w:pPr>
      <w:r>
        <w:t>不同数据库测序平台差异大（RNA-Seq vs. Microarray）。</w:t>
      </w:r>
    </w:p>
    <w:p>
      <w:pPr>
        <w:pStyle w:val="ListBullet"/>
        <w:spacing w:after="60"/>
        <w:ind w:left="720"/>
      </w:pPr>
      <w:r>
        <w:t>基因标识符不统一（版本化 Ensembl ID vs. Gene Symbol）。</w:t>
      </w:r>
    </w:p>
    <w:p>
      <w:pPr>
        <w:pStyle w:val="ListBullet"/>
        <w:spacing w:after="60"/>
        <w:ind w:left="720"/>
      </w:pPr>
      <w:r>
        <w:t>海量样本下的探针整合计算极慢（GSE13159 包含 &gt;2,000 样本、&gt;5.4万探针）。</w:t>
      </w:r>
    </w:p>
    <w:p>
      <w:pPr>
        <w:pStyle w:val="ListBullet"/>
        <w:spacing w:after="60"/>
        <w:ind w:left="360"/>
      </w:pPr>
      <w:r/>
      <w:r>
        <w:rPr>
          <w:b/>
        </w:rPr>
        <w:t>本周目标</w:t>
      </w:r>
      <w:r>
        <w:t>：</w:t>
      </w:r>
    </w:p>
    <w:p>
      <w:pPr>
        <w:spacing w:after="120" w:line="276" w:lineRule="auto"/>
      </w:pPr>
      <w:r>
        <w:t xml:space="preserve">  1. 完成三数据集的本地清洗与缓存体系构建。</w:t>
      </w:r>
    </w:p>
    <w:p>
      <w:pPr>
        <w:spacing w:after="120" w:line="276" w:lineRule="auto"/>
      </w:pPr>
      <w:r>
        <w:t xml:space="preserve">  2. 实现全部基因标识符去版本化及高比例对齐。</w:t>
      </w:r>
    </w:p>
    <w:p>
      <w:pPr>
        <w:spacing w:after="120" w:line="276" w:lineRule="auto"/>
      </w:pPr>
      <w:r>
        <w:t xml:space="preserve">  3. 重构单体代码为</w:t>
      </w:r>
      <w:r>
        <w:rPr>
          <w:b/>
        </w:rPr>
        <w:t>四个相互独立、通过磁盘传递依赖的模块化 R 脚本</w:t>
      </w:r>
      <w:r>
        <w:t>。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Slide 2: 数据集下载与样本选择概况 (Dataset Retrieval &amp; Sample Cohorts)</w:t>
      </w:r>
    </w:p>
    <w:p>
      <w:pPr>
        <w:spacing w:after="120" w:line="276" w:lineRule="auto"/>
      </w:pPr>
      <w:r>
        <w:t>我们构建了稳健的本地缓存下载通道，确保了所有大文件在本地存在时无需重复下载：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数据集</w:t>
            </w:r>
          </w:p>
        </w:tc>
        <w:tc>
          <w:tcPr>
            <w:tcW w:type="dxa" w:w="156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平台类型</w:t>
            </w:r>
          </w:p>
        </w:tc>
        <w:tc>
          <w:tcPr>
            <w:tcW w:type="dxa" w:w="156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样本组织</w:t>
            </w:r>
          </w:p>
        </w:tc>
        <w:tc>
          <w:tcPr>
            <w:tcW w:type="dxa" w:w="156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初始样本量</w:t>
            </w:r>
          </w:p>
        </w:tc>
        <w:tc>
          <w:tcPr>
            <w:tcW w:type="dxa" w:w="156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筛选/清洗后样本量</w:t>
            </w:r>
          </w:p>
        </w:tc>
        <w:tc>
          <w:tcPr>
            <w:tcW w:type="dxa" w:w="156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疾病分组 (Group)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TCGA-LAML</w:t>
            </w:r>
            <w:r/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STAR-RNASeq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骨髓 (Bone Marrow)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151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151</w:t>
            </w:r>
            <w:r/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AML (Leukemia)</w:t>
            </w:r>
          </w:p>
        </w:tc>
      </w:tr>
      <w:tr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GTEx V8</w:t>
            </w:r>
            <w:r/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RNASeq (GCT)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全血 (Whole Blood)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22,951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755</w:t>
            </w:r>
            <w:r>
              <w:t xml:space="preserve"> (剔除骨髓空缺)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Normal (Control)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GSE13159</w:t>
            </w:r>
            <w:r/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Affy HG-U133 Plus 2.0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骨髓/外周血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2,096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2,096</w:t>
            </w:r>
            <w:r/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542 AML / 74 Normal / 1,480 Other</w:t>
            </w:r>
          </w:p>
        </w:tc>
      </w:tr>
    </w:tbl>
    <w:p>
      <w:pPr>
        <w:spacing w:after="120"/>
        <w:ind w:left="576"/>
      </w:pPr>
      <w:r>
        <w:rPr>
          <w:b/>
          <w:color w:val="2E75B6"/>
        </w:rPr>
        <w:t xml:space="preserve">【注意】 </w:t>
      </w:r>
      <w:r/>
    </w:p>
    <w:p>
      <w:pPr>
        <w:spacing w:after="120"/>
        <w:ind w:left="576"/>
      </w:pPr>
      <w:r/>
      <w:r>
        <w:rPr>
          <w:b/>
        </w:rPr>
        <w:t>GTEx 样本筛选说明</w:t>
      </w:r>
      <w:r>
        <w:t xml:space="preserve">：GTEx 数据库中虽包含 Bone Marrow（骨髓）分类，但该组织在 GTEx V8 中仅作为小体量组织库备份，未开展大块 RNA-Seq 测序。因此对照组严格筛选并保留了全血（Whole Blood）中符合质控的 </w:t>
      </w:r>
      <w:r>
        <w:rPr>
          <w:b/>
        </w:rPr>
        <w:t>755 例</w:t>
      </w:r>
      <w:r>
        <w:t xml:space="preserve"> 正常对照样本。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Slide 3: 核心算法与数据清洗方案 (Core Preprocessing Pipeline)</w:t>
      </w:r>
    </w:p>
    <w:p>
      <w:pPr>
        <w:spacing w:after="40"/>
        <w:ind w:left="720"/>
      </w:pPr>
      <w:r>
        <w:rPr>
          <w:rFonts w:ascii="Courier New" w:hAnsi="Courier New"/>
          <w:color w:val="505050"/>
          <w:sz w:val="19"/>
        </w:rPr>
        <w:t>graph TD</w:t>
      </w:r>
    </w:p>
    <w:p>
      <w:pPr>
        <w:spacing w:after="40"/>
        <w:ind w:left="720"/>
      </w:pPr>
      <w:r>
        <w:rPr>
          <w:rFonts w:ascii="Courier New" w:hAnsi="Courier New"/>
          <w:color w:val="505050"/>
          <w:sz w:val="19"/>
        </w:rPr>
        <w:t xml:space="preserve">    A[TCGA Raw Count/TPM] --&gt;|去版本号 Ensembl ID / 均值合并 PAR 重叠基因| B[TCGA Clean log2 TPM+1]</w:t>
      </w:r>
    </w:p>
    <w:p>
      <w:pPr>
        <w:spacing w:after="40"/>
        <w:ind w:left="720"/>
      </w:pPr>
      <w:r>
        <w:rPr>
          <w:rFonts w:ascii="Courier New" w:hAnsi="Courier New"/>
          <w:color w:val="505050"/>
          <w:sz w:val="19"/>
        </w:rPr>
        <w:t xml:space="preserve">    C[GTEx Raw GCT TPM] --&gt;|仅读取 Whole Blood 列 / 去版本号 Ensembl ID / 均值合并| D[GTEx Clean log2 TPM+1]</w:t>
      </w:r>
    </w:p>
    <w:p>
      <w:pPr>
        <w:spacing w:after="40"/>
        <w:ind w:left="720"/>
      </w:pPr>
      <w:r>
        <w:rPr>
          <w:rFonts w:ascii="Courier New" w:hAnsi="Courier New"/>
          <w:color w:val="505050"/>
          <w:sz w:val="19"/>
        </w:rPr>
        <w:t xml:space="preserve">    B &amp; D --&gt;|按 Common Ensembl ID 求交集合并| E[Discovery Cohort: 55,617 Genes x 906 Samples]</w:t>
      </w:r>
    </w:p>
    <w:p>
      <w:pPr>
        <w:spacing w:after="40"/>
        <w:ind w:left="720"/>
      </w:pPr>
      <w:r>
        <w:rPr>
          <w:rFonts w:ascii="Courier New" w:hAnsi="Courier New"/>
          <w:color w:val="505050"/>
          <w:sz w:val="19"/>
        </w:rPr>
      </w:r>
    </w:p>
    <w:p>
      <w:pPr>
        <w:spacing w:after="40"/>
        <w:ind w:left="720"/>
      </w:pPr>
      <w:r>
        <w:rPr>
          <w:rFonts w:ascii="Courier New" w:hAnsi="Courier New"/>
          <w:color w:val="505050"/>
          <w:sz w:val="19"/>
        </w:rPr>
        <w:t xml:space="preserve">    F[GSE13159 Microarray] --&gt;|GPL570.annot.gz 探针映射 / 剔除多映射与空值| G[Probe-to-Gene Symbol Conversion]</w:t>
      </w:r>
    </w:p>
    <w:p>
      <w:pPr>
        <w:spacing w:after="40"/>
        <w:ind w:left="720"/>
      </w:pPr>
      <w:r>
        <w:rPr>
          <w:rFonts w:ascii="Courier New" w:hAnsi="Courier New"/>
          <w:color w:val="505050"/>
          <w:sz w:val="19"/>
        </w:rPr>
        <w:t xml:space="preserve">    G --&gt;|data.table 向量化均值聚合| H[GSE13159 Clean Matrix]</w:t>
      </w:r>
    </w:p>
    <w:p>
      <w:pPr>
        <w:spacing w:after="40"/>
        <w:ind w:left="720"/>
      </w:pPr>
      <w:r>
        <w:rPr>
          <w:rFonts w:ascii="Courier New" w:hAnsi="Courier New"/>
          <w:color w:val="505050"/>
          <w:sz w:val="19"/>
        </w:rPr>
        <w:t xml:space="preserve">    H --&gt;|原值区间评估 &amp; 背景截断| I[Validation Cohort: 21,755 Genes x 2,096 Samples]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去版本号 Ensembl ID 规范化</w:t>
      </w:r>
      <w:r>
        <w:t>：</w:t>
      </w:r>
    </w:p>
    <w:p>
      <w:pPr>
        <w:pStyle w:val="ListBullet"/>
        <w:spacing w:after="60"/>
        <w:ind w:left="720"/>
      </w:pPr>
      <w:r>
        <w:t xml:space="preserve">去除 Ensembl ID 的点号后缀（例如 </w:t>
      </w:r>
      <w:r>
        <w:rPr>
          <w:rFonts w:ascii="Courier New" w:hAnsi="Courier New"/>
          <w:color w:val="505050"/>
          <w:sz w:val="19"/>
        </w:rPr>
        <w:t>ENSG00000000003.15</w:t>
      </w:r>
      <w:r>
        <w:t xml:space="preserve"> $\rightarrow$ </w:t>
      </w:r>
      <w:r>
        <w:rPr>
          <w:rFonts w:ascii="Courier New" w:hAnsi="Courier New"/>
          <w:color w:val="505050"/>
          <w:sz w:val="19"/>
        </w:rPr>
        <w:t>ENSG00000000003</w:t>
      </w:r>
      <w:r>
        <w:t xml:space="preserve">），解决拟常染色体区域（PAR）的 44 个性染色体基因的重复问题（采用 </w:t>
      </w:r>
      <w:r>
        <w:rPr>
          <w:rFonts w:ascii="Courier New" w:hAnsi="Courier New"/>
          <w:color w:val="505050"/>
          <w:sz w:val="19"/>
        </w:rPr>
        <w:t>mean</w:t>
      </w:r>
      <w:r>
        <w:t xml:space="preserve"> 聚类合并）。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基因交集对齐（Discovery Cohort）</w:t>
      </w:r>
      <w:r>
        <w:t>：</w:t>
      </w:r>
    </w:p>
    <w:p>
      <w:pPr>
        <w:pStyle w:val="ListBullet"/>
        <w:spacing w:after="60"/>
        <w:ind w:left="720"/>
      </w:pPr>
      <w:r>
        <w:t xml:space="preserve">TCGA 与 GTEx 最终保留了 </w:t>
      </w:r>
      <w:r>
        <w:rPr>
          <w:b/>
        </w:rPr>
        <w:t>55,617</w:t>
      </w:r>
      <w:r>
        <w:t xml:space="preserve"> 个共有 Ensembl 基因。</w:t>
      </w:r>
    </w:p>
    <w:p>
      <w:pPr>
        <w:pStyle w:val="ListBullet"/>
        <w:spacing w:after="60"/>
        <w:ind w:left="720"/>
      </w:pPr>
      <w:r/>
      <w:r>
        <w:rPr>
          <w:b/>
        </w:rPr>
        <w:t>GTEx 基因保留率高达 99.04%</w:t>
      </w:r>
      <w:r>
        <w:t>，</w:t>
      </w:r>
      <w:r>
        <w:rPr>
          <w:b/>
        </w:rPr>
        <w:t>TCGA 保留率 91.75%</w:t>
      </w:r>
      <w:r>
        <w:t xml:space="preserve">，相比使用 Gene Symbol 匹配，保留基因数大幅增加了近 </w:t>
      </w:r>
      <w:r>
        <w:rPr>
          <w:b/>
        </w:rPr>
        <w:t>20,000 个</w:t>
      </w:r>
      <w:r>
        <w:t>，显著提升了非编码 RNA 的覆盖度。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Slide 4: 防御性编程与工程化提速 (Defensive Programming &amp; Speedup)</w:t>
      </w:r>
    </w:p>
    <w:p>
      <w:pPr>
        <w:spacing w:after="120" w:line="276" w:lineRule="auto"/>
      </w:pPr>
      <w:r>
        <w:t>在预处理工程实现中，我们针对生信分析的经典“痛点”加入了防御性机制：</w:t>
      </w:r>
    </w:p>
    <w:p>
      <w:pPr>
        <w:pStyle w:val="ListBullet"/>
        <w:spacing w:after="60"/>
        <w:ind w:left="360"/>
      </w:pPr>
      <w:r/>
      <w:r>
        <w:rPr>
          <w:b/>
        </w:rPr>
        <w:t>500倍计算提速</w:t>
      </w:r>
      <w:r>
        <w:t>：</w:t>
      </w:r>
    </w:p>
    <w:p>
      <w:pPr>
        <w:spacing w:after="120" w:line="276" w:lineRule="auto"/>
      </w:pPr>
      <w:r>
        <w:t xml:space="preserve">  利用 </w:t>
      </w:r>
      <w:r>
        <w:rPr>
          <w:rFonts w:ascii="Courier New" w:hAnsi="Courier New"/>
          <w:color w:val="505050"/>
          <w:sz w:val="19"/>
        </w:rPr>
        <w:t>data.table</w:t>
      </w:r>
      <w:r>
        <w:t xml:space="preserve"> 向量化聚合算法，替代了传统的 </w:t>
      </w:r>
      <w:r>
        <w:rPr>
          <w:rFonts w:ascii="Courier New" w:hAnsi="Courier New"/>
          <w:color w:val="505050"/>
          <w:sz w:val="19"/>
        </w:rPr>
        <w:t>dplyr::group_by</w:t>
      </w:r>
      <w:r>
        <w:t xml:space="preserve">。在 GSE13159 的 </w:t>
      </w:r>
      <w:r>
        <w:rPr>
          <w:b/>
        </w:rPr>
        <w:t>54,675 探针 × 2,096 样本</w:t>
      </w:r>
      <w:r>
        <w:t xml:space="preserve"> 超宽矩阵上，探针-基因均值聚合时间由 </w:t>
      </w:r>
      <w:r>
        <w:rPr>
          <w:b/>
        </w:rPr>
        <w:t>&gt;5分钟 直降至 0.82秒</w:t>
      </w:r>
      <w:r>
        <w:t>，规避了内存溢出风险。</w:t>
      </w:r>
    </w:p>
    <w:p>
      <w:pPr>
        <w:pStyle w:val="ListBullet"/>
        <w:spacing w:after="60"/>
        <w:ind w:left="360"/>
      </w:pPr>
      <w:r/>
      <w:r>
        <w:rPr>
          <w:b/>
        </w:rPr>
        <w:t>严谨的芯片数值对数判定顺序</w:t>
      </w:r>
      <w:r>
        <w:t>：</w:t>
      </w:r>
    </w:p>
    <w:p>
      <w:pPr>
        <w:spacing w:after="120" w:line="276" w:lineRule="auto"/>
      </w:pPr>
      <w:r>
        <w:t xml:space="preserve">  </w:t>
      </w:r>
      <w:r>
        <w:rPr>
          <w:b/>
        </w:rPr>
        <w:t>先评估 range 再截断归零</w:t>
      </w:r>
      <w:r>
        <w:t xml:space="preserve">。若在评估前直接将小于 0 的背景噪声截断为 0，会人为破坏原始分布，影响 </w:t>
      </w:r>
      <w:r>
        <w:rPr>
          <w:rFonts w:ascii="Courier New" w:hAnsi="Courier New"/>
          <w:color w:val="505050"/>
          <w:sz w:val="19"/>
        </w:rPr>
        <w:t>range</w:t>
      </w:r>
      <w:r>
        <w:t xml:space="preserve"> 的检测准确性。我们确保了先做 </w:t>
      </w:r>
      <w:r>
        <w:rPr>
          <w:rFonts w:ascii="Courier New" w:hAnsi="Courier New"/>
          <w:color w:val="505050"/>
          <w:sz w:val="19"/>
        </w:rPr>
        <w:t>range</w:t>
      </w:r>
      <w:r>
        <w:t xml:space="preserve"> 判断，确认为未对数化数据后，再执行 </w:t>
      </w:r>
      <w:r>
        <w:rPr>
          <w:rFonts w:ascii="Courier New" w:hAnsi="Courier New"/>
          <w:color w:val="505050"/>
          <w:sz w:val="19"/>
        </w:rPr>
        <w:t>gse[gse &lt; 0] &lt;- 0</w:t>
      </w:r>
      <w:r>
        <w:t xml:space="preserve"> 截断，并应用 </w:t>
      </w:r>
      <w:r>
        <w:rPr>
          <w:rFonts w:ascii="Courier New" w:hAnsi="Courier New"/>
          <w:color w:val="505050"/>
          <w:sz w:val="19"/>
        </w:rPr>
        <w:t>log2(x + 1)</w:t>
      </w:r>
      <w:r>
        <w:t xml:space="preserve"> 转化。</w:t>
      </w:r>
    </w:p>
    <w:p>
      <w:pPr>
        <w:pStyle w:val="ListBullet"/>
        <w:spacing w:after="60"/>
        <w:ind w:left="360"/>
      </w:pPr>
      <w:r/>
      <w:r>
        <w:rPr>
          <w:b/>
        </w:rPr>
        <w:t>严格的样本顺序一致性校验（Safety Wall）</w:t>
      </w:r>
      <w:r>
        <w:t>：</w:t>
      </w:r>
    </w:p>
    <w:p>
      <w:pPr>
        <w:spacing w:after="120" w:line="276" w:lineRule="auto"/>
      </w:pPr>
      <w:r>
        <w:t xml:space="preserve">  在合并发现集前，强制使用 </w:t>
      </w:r>
      <w:r>
        <w:rPr>
          <w:rFonts w:ascii="Courier New" w:hAnsi="Courier New"/>
          <w:color w:val="505050"/>
          <w:sz w:val="19"/>
        </w:rPr>
        <w:t>match()</w:t>
      </w:r>
      <w:r>
        <w:t xml:space="preserve"> 重排样本元数据的行，以匹配表达矩阵的列，并在保存前以 </w:t>
      </w:r>
      <w:r>
        <w:rPr>
          <w:rFonts w:ascii="Courier New" w:hAnsi="Courier New"/>
          <w:color w:val="505050"/>
          <w:sz w:val="19"/>
        </w:rPr>
        <w:t>identical(colnames(expr), metadata$sample_id)</w:t>
      </w:r>
      <w:r>
        <w:t xml:space="preserve"> 进行双重阻断检查。确保在后续的差异表达分析或机器学习中，样本矩阵与分类标签 100% 对齐。</w:t>
      </w:r>
    </w:p>
    <w:p>
      <w:pPr>
        <w:pStyle w:val="ListBullet"/>
        <w:spacing w:after="60"/>
        <w:ind w:left="360"/>
      </w:pPr>
      <w:r/>
      <w:r>
        <w:rPr>
          <w:b/>
        </w:rPr>
        <w:t>内存隔离与包依赖自动安装</w:t>
      </w:r>
      <w:r>
        <w:t>：</w:t>
      </w:r>
    </w:p>
    <w:p>
      <w:pPr>
        <w:spacing w:after="120" w:line="276" w:lineRule="auto"/>
      </w:pPr>
      <w:r>
        <w:t xml:space="preserve">  将脚本拆分为独立的命令行脚本后，利用独立的 </w:t>
      </w:r>
      <w:r>
        <w:rPr>
          <w:rFonts w:ascii="Courier New" w:hAnsi="Courier New"/>
          <w:color w:val="505050"/>
          <w:sz w:val="19"/>
        </w:rPr>
        <w:t>Rscript</w:t>
      </w:r>
      <w:r>
        <w:t xml:space="preserve"> 运行各个模块，保证 R 能够在各脚本运行结束后 </w:t>
      </w:r>
      <w:r>
        <w:rPr>
          <w:b/>
        </w:rPr>
        <w:t>100% 回收大型中间矩阵占用的系统内存</w:t>
      </w:r>
      <w:r>
        <w:t xml:space="preserve">。在各脚本开头均补全了 </w:t>
      </w:r>
      <w:r>
        <w:rPr>
          <w:rFonts w:ascii="Courier New" w:hAnsi="Courier New"/>
          <w:color w:val="505050"/>
          <w:sz w:val="19"/>
        </w:rPr>
        <w:t>jsonlite</w:t>
      </w:r>
      <w:r>
        <w:t xml:space="preserve">, </w:t>
      </w:r>
      <w:r>
        <w:rPr>
          <w:rFonts w:ascii="Courier New" w:hAnsi="Courier New"/>
          <w:color w:val="505050"/>
          <w:sz w:val="19"/>
        </w:rPr>
        <w:t>httr</w:t>
      </w:r>
      <w:r>
        <w:t xml:space="preserve">, </w:t>
      </w:r>
      <w:r>
        <w:rPr>
          <w:rFonts w:ascii="Courier New" w:hAnsi="Courier New"/>
          <w:color w:val="505050"/>
          <w:sz w:val="19"/>
        </w:rPr>
        <w:t>plyr</w:t>
      </w:r>
      <w:r>
        <w:t xml:space="preserve"> 等 CRAN 及 Bioconductor 包的缺漏检测与自动下载逻辑。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Slide 5: 下阶段工作计划 (Next Steps)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发现集去批次效应分析 (Week 3 - Batch Effect Evaluation &amp; Correction)</w:t>
      </w:r>
      <w:r>
        <w:t>：</w:t>
      </w:r>
    </w:p>
    <w:p>
      <w:pPr>
        <w:pStyle w:val="ListBullet"/>
        <w:spacing w:after="60"/>
        <w:ind w:left="720"/>
      </w:pPr>
      <w:r>
        <w:t xml:space="preserve">将合并后的 </w:t>
      </w:r>
      <w:r>
        <w:rPr>
          <w:rFonts w:ascii="Courier New" w:hAnsi="Courier New"/>
          <w:color w:val="505050"/>
          <w:sz w:val="19"/>
        </w:rPr>
        <w:t>discovery_expr_log2tpm.rds</w:t>
      </w:r>
      <w:r>
        <w:t xml:space="preserve"> 进行 PCA / t-SNE 降维可视化，评估 TCGA 与 GTEx 的测序平台偏差。</w:t>
      </w:r>
    </w:p>
    <w:p>
      <w:pPr>
        <w:pStyle w:val="ListBullet"/>
        <w:spacing w:after="60"/>
        <w:ind w:left="720"/>
      </w:pPr>
      <w:r>
        <w:t xml:space="preserve">使用 </w:t>
      </w:r>
      <w:r>
        <w:rPr>
          <w:rFonts w:ascii="Courier New" w:hAnsi="Courier New"/>
          <w:color w:val="505050"/>
          <w:sz w:val="19"/>
        </w:rPr>
        <w:t>sva::ComBat</w:t>
      </w:r>
      <w:r>
        <w:t xml:space="preserve"> 或 </w:t>
      </w:r>
      <w:r>
        <w:rPr>
          <w:rFonts w:ascii="Courier New" w:hAnsi="Courier New"/>
          <w:color w:val="505050"/>
          <w:sz w:val="19"/>
        </w:rPr>
        <w:t>limma::removeBatchEffect</w:t>
      </w:r>
      <w:r>
        <w:t xml:space="preserve"> 进行批次效应校正，并重新评估校正前后的数据分布。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差异表达分析 (Differential Expression Analysis)</w:t>
      </w:r>
      <w:r>
        <w:t>：</w:t>
      </w:r>
    </w:p>
    <w:p>
      <w:pPr>
        <w:pStyle w:val="ListBullet"/>
        <w:spacing w:after="60"/>
        <w:ind w:left="720"/>
      </w:pPr>
      <w:r>
        <w:t xml:space="preserve">采用 </w:t>
      </w:r>
      <w:r>
        <w:rPr>
          <w:rFonts w:ascii="Courier New" w:hAnsi="Courier New"/>
          <w:color w:val="505050"/>
          <w:sz w:val="19"/>
        </w:rPr>
        <w:t>limma</w:t>
      </w:r>
      <w:r>
        <w:t xml:space="preserve"> 包提取 AML 组 vs 正常对照组的差异表达基因（DEGs），并进行火山图与热图可视化。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独立验证集外部验证 (External Validation)</w:t>
      </w:r>
      <w:r>
        <w:t>：</w:t>
      </w:r>
    </w:p>
    <w:p>
      <w:pPr>
        <w:pStyle w:val="ListBullet"/>
        <w:spacing w:after="60"/>
        <w:ind w:left="720"/>
      </w:pPr>
      <w:r>
        <w:t>在清洗好的 GSE13159 独立验证集上进行相同候选靶基因的表达模式验证，确认特征基因在微阵列芯片队列中的鲁棒性。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组会汇报汇报口语稿 (Speaker Notes / Oral Draft)</w:t>
      </w:r>
    </w:p>
    <w:p>
      <w:pPr>
        <w:spacing w:after="120"/>
        <w:ind w:left="576"/>
      </w:pPr>
      <w:r>
        <w:t>“各位老师、师兄师姐好。本周我主要完成了 AML 发现集与验证集的清洗与脚本重构工作。</w:t>
      </w:r>
    </w:p>
    <w:p>
      <w:pPr>
        <w:spacing w:after="120" w:line="276" w:lineRule="auto"/>
      </w:pPr>
      <w:r>
        <w:t>&gt;</w:t>
      </w:r>
    </w:p>
    <w:p>
      <w:pPr>
        <w:spacing w:after="120"/>
        <w:ind w:left="576"/>
      </w:pPr>
      <w:r>
        <w:t>首先，在</w:t>
      </w:r>
      <w:r>
        <w:rPr>
          <w:b/>
        </w:rPr>
        <w:t>发现集构建</w:t>
      </w:r>
      <w:r>
        <w:t>中，我们从 TCGA 下载了 151 例 AML 骨髓表达谱，从 GTEx 筛选了 755 例正常人全血表达谱。为了避免以 Gene Symbol 匹配造成的非编码基因大量丢失，我们建立了一套 Ensembl ID 去版本号的对齐算法。这一改进让两个测序数据集的基因重合数达到了 55,617 个，相比 Symbol 匹配保留了更多的转录本细节，其中 GTEx 基因的保留率高达 99.04%。</w:t>
      </w:r>
    </w:p>
    <w:p>
      <w:pPr>
        <w:spacing w:after="120" w:line="276" w:lineRule="auto"/>
      </w:pPr>
      <w:r>
        <w:t>&gt;</w:t>
      </w:r>
    </w:p>
    <w:p>
      <w:pPr>
        <w:spacing w:after="120"/>
        <w:ind w:left="576"/>
      </w:pPr>
      <w:r>
        <w:t>其次，在</w:t>
      </w:r>
      <w:r>
        <w:rPr>
          <w:b/>
        </w:rPr>
        <w:t>验证集处理</w:t>
      </w:r>
      <w:r>
        <w:t>中，我下载了 GSE13159 芯片数据集（2,096 样本）。由于该数据集探针矩阵极大，传统 dplyr 聚合会引发内存耗尽崩溃。对此我使用 data.table 进行重构，将原本需要五分钟以上的聚合过程提速至 1 秒以内。在数值尺度上，我们遵循了‘先判断 range、再归零截断、最后做 log2 转换’的严谨顺序。经检测，GSE13159 芯片表达值的最大值为 1，说明它在 GEO 数据库中已经是 log 状态，因此我们安全地保留了原值。</w:t>
      </w:r>
    </w:p>
    <w:p>
      <w:pPr>
        <w:spacing w:after="120" w:line="276" w:lineRule="auto"/>
      </w:pPr>
      <w:r>
        <w:t>&gt;</w:t>
      </w:r>
    </w:p>
    <w:p>
      <w:pPr>
        <w:spacing w:after="120"/>
        <w:ind w:left="576"/>
      </w:pPr>
      <w:r>
        <w:t>在</w:t>
      </w:r>
      <w:r>
        <w:rPr>
          <w:b/>
        </w:rPr>
        <w:t>脚本工程化</w:t>
      </w:r>
      <w:r>
        <w:t>方面，我已经把原先冗长的 Rmd 拆分成了四个独立的 R 脚本。它们之间完全不共享内存，而是通过 RDS 文件安全地传递输出数据。在最终合并时，我们通过 match 与 identical 函数建立了强效样本校验墙，杜绝了下游差异分析或模型训练时可能出现的样本标签错位问题。</w:t>
      </w:r>
    </w:p>
    <w:p>
      <w:pPr>
        <w:spacing w:after="120" w:line="276" w:lineRule="auto"/>
      </w:pPr>
      <w:r>
        <w:t>&gt;</w:t>
      </w:r>
    </w:p>
    <w:p>
      <w:pPr>
        <w:spacing w:after="120"/>
        <w:ind w:left="576"/>
      </w:pPr>
      <w:r>
        <w:t>目前所有的干净数据与四个标准化模块脚本都已经准备就绪，下周我将开展 TCGA 和 GTEx 之间的去批次效应（Batch Effect Removal）及下游的差异基因筛选。汇报完毕，请各位老师和师兄师姐批评指正。”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