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Arial" w:hAnsi="Arial"/>
          <w:b/>
          <w:color w:val="1F4E79"/>
          <w:sz w:val="36"/>
        </w:rPr>
        <w:t>Week 3 项目描述与数据挖掘手册：急性髓系白血病（AML）差异表达分析与正常造血干细胞安全过滤筛选</w:t>
      </w:r>
    </w:p>
    <w:p>
      <w:pPr>
        <w:spacing w:after="120" w:line="276" w:lineRule="auto"/>
      </w:pPr>
      <w:r>
        <w:t>本手册旨在详细记录 Week 3/Week 4 的工作内容、各脚本的作用、清理后最终产出文件的具体含义，以及关键生物信息学处理逻辑与临床转化医学背景的深度解析。它可以作为您本周分析的快速查询字典与项目交接/汇报底稿。</w:t>
      </w:r>
    </w:p>
    <w:p>
      <w:pPr>
        <w:spacing w:after="120" w:line="276" w:lineRule="auto"/>
      </w:pPr>
      <w:r>
        <w:t>---</w:t>
      </w:r>
    </w:p>
    <w:p>
      <w:pPr>
        <w:pStyle w:val="Heading2"/>
        <w:spacing w:before="240" w:after="80"/>
      </w:pPr>
      <w:r>
        <w:rPr>
          <w:rFonts w:ascii="Arial" w:hAnsi="Arial"/>
          <w:b/>
          <w:color w:val="2E75B6"/>
          <w:sz w:val="28"/>
        </w:rPr>
        <w:t>一、 本周工作总结：我干了什么？</w:t>
      </w:r>
    </w:p>
    <w:p>
      <w:pPr>
        <w:spacing w:after="120" w:line="276" w:lineRule="auto"/>
      </w:pPr>
      <w:r>
        <w:t xml:space="preserve">本周完成了 </w:t>
      </w:r>
      <w:r>
        <w:rPr>
          <w:b/>
        </w:rPr>
        <w:t>AML 疾病组对正常对照组的差异表达基因分析、独立验证集交叉验证、排查并规避严重的混杂批次效应，以及基于健康人正常造血干/祖细胞表达量基准（GSE24759）进行安全过滤</w:t>
      </w:r>
      <w:r>
        <w:t>。</w:t>
      </w:r>
    </w:p>
    <w:p>
      <w:pPr>
        <w:spacing w:after="120" w:line="276" w:lineRule="auto"/>
      </w:pPr>
      <w:r>
        <w:t xml:space="preserve">1. </w:t>
      </w:r>
      <w:r>
        <w:rPr>
          <w:b/>
        </w:rPr>
        <w:t>差异表达分析重构</w:t>
      </w:r>
      <w:r>
        <w:t xml:space="preserve">：编写了 </w:t>
      </w:r>
      <w:r>
        <w:rPr>
          <w:rFonts w:ascii="Courier New" w:hAnsi="Courier New"/>
          <w:color w:val="505050"/>
          <w:sz w:val="19"/>
        </w:rPr>
        <w:t>scripts/05_diff_expression_analysis.R</w:t>
      </w:r>
      <w:r>
        <w:t>，在发现集（TCGA + GTEx）和独立验证集（GSE13159）中分别提取了特异性上调和下调的基因。</w:t>
      </w:r>
    </w:p>
    <w:p>
      <w:pPr>
        <w:spacing w:after="120" w:line="276" w:lineRule="auto"/>
      </w:pPr>
      <w:r>
        <w:t xml:space="preserve">2. </w:t>
      </w:r>
      <w:r>
        <w:rPr>
          <w:b/>
        </w:rPr>
        <w:t>巧妙攻克“完美混杂”批次效应</w:t>
      </w:r>
      <w:r>
        <w:t>：</w:t>
      </w:r>
    </w:p>
    <w:p>
      <w:pPr>
        <w:pStyle w:val="ListBullet"/>
        <w:spacing w:after="60"/>
        <w:ind w:left="720"/>
      </w:pPr>
      <w:r>
        <w:t xml:space="preserve">诊断发现发现集（TCGA vs GTEx）中，疾病表型（AML vs Normal）与样本来源（TCGA vs GTEx）呈 </w:t>
      </w:r>
      <w:r>
        <w:rPr>
          <w:b/>
        </w:rPr>
        <w:t>100% 完美混杂（Perfect Confounding）</w:t>
      </w:r>
      <w:r>
        <w:t>。</w:t>
      </w:r>
    </w:p>
    <w:p>
      <w:pPr>
        <w:pStyle w:val="ListBullet"/>
        <w:spacing w:after="60"/>
        <w:ind w:left="720"/>
      </w:pPr>
      <w:r>
        <w:t>验证发现直接使用 ComBat 包进行批次效应矫正会</w:t>
      </w:r>
      <w:r>
        <w:rPr>
          <w:b/>
        </w:rPr>
        <w:t>完全抹杀</w:t>
      </w:r>
      <w:r>
        <w:t>生物学真实差异（重叠基因为 0）。</w:t>
      </w:r>
    </w:p>
    <w:p>
      <w:pPr>
        <w:pStyle w:val="ListBullet"/>
        <w:spacing w:after="60"/>
        <w:ind w:left="720"/>
      </w:pPr>
      <w:r>
        <w:t>采用</w:t>
      </w:r>
      <w:r>
        <w:rPr>
          <w:b/>
        </w:rPr>
        <w:t>双端交集（Intersection）的无矫正交叉过滤方案</w:t>
      </w:r>
      <w:r>
        <w:t xml:space="preserve">，在保留真实差异的同时，用平台独立的验证集作为天然过滤器，成功提炼出 </w:t>
      </w:r>
      <w:r>
        <w:rPr>
          <w:b/>
        </w:rPr>
        <w:t>131 个</w:t>
      </w:r>
      <w:r>
        <w:t>强健的重叠差异表达基因（DEGs）（22 个上调，109 个下调）。</w:t>
      </w:r>
    </w:p>
    <w:p>
      <w:pPr>
        <w:spacing w:after="120" w:line="276" w:lineRule="auto"/>
      </w:pPr>
      <w:r>
        <w:t xml:space="preserve">3. </w:t>
      </w:r>
      <w:r>
        <w:rPr>
          <w:b/>
        </w:rPr>
        <w:t>正常造血干/祖细胞（HSPC）高表达排除筛选</w:t>
      </w:r>
      <w:r>
        <w:t>：</w:t>
      </w:r>
    </w:p>
    <w:p>
      <w:pPr>
        <w:pStyle w:val="ListBullet"/>
        <w:spacing w:after="60"/>
        <w:ind w:left="720"/>
      </w:pPr>
      <w:r>
        <w:t xml:space="preserve">编写并运行 </w:t>
      </w:r>
      <w:r>
        <w:rPr>
          <w:rFonts w:ascii="Courier New" w:hAnsi="Courier New"/>
          <w:color w:val="505050"/>
          <w:sz w:val="19"/>
        </w:rPr>
        <w:t>scripts/06_filter_hspc_degs.R</w:t>
      </w:r>
      <w:r>
        <w:t>。</w:t>
      </w:r>
    </w:p>
    <w:p>
      <w:pPr>
        <w:pStyle w:val="ListBullet"/>
        <w:spacing w:after="60"/>
        <w:ind w:left="720"/>
      </w:pPr>
      <w:r>
        <w:t xml:space="preserve">从 GEO 下载并读取经典健康造血层级图谱数据集 </w:t>
      </w:r>
      <w:r>
        <w:rPr>
          <w:b/>
        </w:rPr>
        <w:t>GSE24759</w:t>
      </w:r>
      <w:r>
        <w:t>，提取了代表正常造血干细胞/祖细胞的 31 例样本表达谱（HSC, CMP, GMP, MEP）。</w:t>
      </w:r>
    </w:p>
    <w:p>
      <w:pPr>
        <w:pStyle w:val="ListBullet"/>
        <w:spacing w:after="60"/>
        <w:ind w:left="720"/>
      </w:pPr>
      <w:r>
        <w:t xml:space="preserve">设定 $\log_2$ 表达量阈值 </w:t>
      </w:r>
      <w:r>
        <w:rPr>
          <w:b/>
        </w:rPr>
        <w:t>7.0</w:t>
      </w:r>
      <w:r>
        <w:t xml:space="preserve"> 排除高危毒性基因，并妥善保留未在芯片中检测的 10 个基因。最终将 131 个重叠基因进一步过滤并锁定为 </w:t>
      </w:r>
      <w:r>
        <w:rPr>
          <w:b/>
        </w:rPr>
        <w:t>106 个</w:t>
      </w:r>
      <w:r>
        <w:t>最终安全基因（19 个上调，87 个下调）。</w:t>
      </w:r>
    </w:p>
    <w:p>
      <w:pPr>
        <w:spacing w:after="120" w:line="276" w:lineRule="auto"/>
      </w:pPr>
      <w:r>
        <w:t xml:space="preserve">4. </w:t>
      </w:r>
      <w:r>
        <w:rPr>
          <w:b/>
        </w:rPr>
        <w:t>归档清空 Week3 文件夹</w:t>
      </w:r>
      <w:r>
        <w:t xml:space="preserve">：将最终的差异基因列表、两张火山图和一幅聚类热图共 4 个核心交付成果拷贝至 </w:t>
      </w:r>
      <w:r>
        <w:rPr>
          <w:rFonts w:ascii="Courier New" w:hAnsi="Courier New"/>
          <w:color w:val="505050"/>
          <w:sz w:val="19"/>
        </w:rPr>
        <w:t>Week3/</w:t>
      </w:r>
      <w:r>
        <w:t xml:space="preserve"> 文件夹，并提交推送到 GitHub。</w:t>
      </w:r>
    </w:p>
    <w:p>
      <w:pPr>
        <w:spacing w:after="120" w:line="276" w:lineRule="auto"/>
      </w:pPr>
      <w:r>
        <w:t>---</w:t>
      </w:r>
    </w:p>
    <w:p>
      <w:pPr>
        <w:pStyle w:val="Heading2"/>
        <w:spacing w:before="240" w:after="80"/>
      </w:pPr>
      <w:r>
        <w:rPr>
          <w:rFonts w:ascii="Arial" w:hAnsi="Arial"/>
          <w:b/>
          <w:color w:val="2E75B6"/>
          <w:sz w:val="28"/>
        </w:rPr>
        <w:t>二、 最终输出文件解析：保留的都是什么？</w:t>
      </w:r>
    </w:p>
    <w:p>
      <w:pPr>
        <w:spacing w:after="120" w:line="276" w:lineRule="auto"/>
      </w:pPr>
      <w:r>
        <w:t>为了使提交或汇报更精简，</w:t>
      </w:r>
      <w:r>
        <w:rPr>
          <w:rFonts w:ascii="Courier New" w:hAnsi="Courier New"/>
          <w:color w:val="505050"/>
          <w:sz w:val="19"/>
        </w:rPr>
        <w:t>Week3/</w:t>
      </w:r>
      <w:r>
        <w:t xml:space="preserve"> 文件夹下只保留了最核心的 </w:t>
      </w:r>
      <w:r>
        <w:rPr>
          <w:b/>
        </w:rPr>
        <w:t>4 个文件</w:t>
      </w:r>
      <w:r>
        <w:t>，含义如下：</w:t>
      </w:r>
    </w:p>
    <w:p>
      <w:pPr>
        <w:pStyle w:val="Heading3"/>
        <w:spacing w:before="120" w:after="40"/>
      </w:pPr>
      <w:r>
        <w:rPr>
          <w:rFonts w:ascii="Arial" w:hAnsi="Arial"/>
          <w:b/>
          <w:color w:val="5A5A5A"/>
          <w:sz w:val="24"/>
        </w:rPr>
        <w:t>1. 最终安全生物标志物列表</w:t>
      </w:r>
    </w:p>
    <w:p>
      <w:pPr>
        <w:pStyle w:val="ListBullet"/>
        <w:spacing w:after="60"/>
        <w:ind w:left="360"/>
      </w:pPr>
      <w:r/>
      <w:r>
        <w:rPr>
          <w:b/>
        </w:rPr>
        <w:t>`sig_degs_hspc_filtered.csv`</w:t>
      </w:r>
      <w:r/>
    </w:p>
    <w:p>
      <w:pPr>
        <w:pStyle w:val="ListBullet"/>
        <w:spacing w:after="60"/>
        <w:ind w:left="720"/>
      </w:pPr>
      <w:r/>
      <w:r>
        <w:rPr>
          <w:b/>
        </w:rPr>
        <w:t>定义</w:t>
      </w:r>
      <w:r>
        <w:t>：最终确定的 106 个通过交叉验证且排除 HSPC 高表达的 AML 特异性差异表达基因列表。</w:t>
      </w:r>
    </w:p>
    <w:p>
      <w:pPr>
        <w:pStyle w:val="ListBullet"/>
        <w:spacing w:after="60"/>
        <w:ind w:left="720"/>
      </w:pPr>
      <w:r/>
      <w:r>
        <w:rPr>
          <w:b/>
        </w:rPr>
        <w:t>包含信息</w:t>
      </w:r>
      <w:r>
        <w:t>：Ensembl ID, Gene Symbol, 发现集和验证集的 logFC 与 p 值，以及安全方向分类。</w:t>
      </w:r>
    </w:p>
    <w:p>
      <w:pPr>
        <w:pStyle w:val="Heading3"/>
        <w:spacing w:before="120" w:after="40"/>
      </w:pPr>
      <w:r>
        <w:rPr>
          <w:rFonts w:ascii="Arial" w:hAnsi="Arial"/>
          <w:b/>
          <w:color w:val="5A5A5A"/>
          <w:sz w:val="24"/>
        </w:rPr>
        <w:t>2. 最终火山图（高亮标注安全基因）</w:t>
      </w:r>
    </w:p>
    <w:p>
      <w:pPr>
        <w:pStyle w:val="ListBullet"/>
        <w:spacing w:after="60"/>
        <w:ind w:left="360"/>
      </w:pPr>
      <w:r/>
      <w:r>
        <w:rPr>
          <w:b/>
        </w:rPr>
        <w:t>`discovery_volcano_hspc_filtered.png`</w:t>
      </w:r>
      <w:r/>
    </w:p>
    <w:p>
      <w:pPr>
        <w:pStyle w:val="ListBullet"/>
        <w:spacing w:after="60"/>
        <w:ind w:left="720"/>
      </w:pPr>
      <w:r/>
      <w:r>
        <w:rPr>
          <w:b/>
        </w:rPr>
        <w:t>定义</w:t>
      </w:r>
      <w:r>
        <w:t>：发现集（TCGA+GTEx）的安全过滤火山图（显著性阈值：$\text{adj.P.Val} &lt; 0.01$，$|\log_2\text{FC}| &gt; 1.5$）。</w:t>
      </w:r>
    </w:p>
    <w:p>
      <w:pPr>
        <w:pStyle w:val="ListBullet"/>
        <w:spacing w:after="60"/>
        <w:ind w:left="720"/>
      </w:pPr>
      <w:r/>
      <w:r>
        <w:rPr>
          <w:b/>
        </w:rPr>
        <w:t>解释</w:t>
      </w:r>
      <w:r>
        <w:t xml:space="preserve">：火山图上红色和蓝色点仅标记并高亮显示通过造血干细胞安全过滤的 106 个最终基因，将高表达的 </w:t>
      </w:r>
      <w:r>
        <w:rPr>
          <w:rFonts w:ascii="Courier New" w:hAnsi="Courier New"/>
          <w:color w:val="505050"/>
          <w:sz w:val="19"/>
        </w:rPr>
        <w:t>FLT3</w:t>
      </w:r>
      <w:r>
        <w:t>、</w:t>
      </w:r>
      <w:r>
        <w:rPr>
          <w:rFonts w:ascii="Courier New" w:hAnsi="Courier New"/>
          <w:color w:val="505050"/>
          <w:sz w:val="19"/>
        </w:rPr>
        <w:t>JUP</w:t>
      </w:r>
      <w:r>
        <w:t>、</w:t>
      </w:r>
      <w:r>
        <w:rPr>
          <w:rFonts w:ascii="Courier New" w:hAnsi="Courier New"/>
          <w:color w:val="505050"/>
          <w:sz w:val="19"/>
        </w:rPr>
        <w:t>GUCY1A3</w:t>
      </w:r>
      <w:r>
        <w:t xml:space="preserve"> 等排除的靶点归回灰色不显著背景，避免误导下游靶点开发。</w:t>
      </w:r>
    </w:p>
    <w:p>
      <w:pPr>
        <w:pStyle w:val="ListBullet"/>
        <w:spacing w:after="60"/>
        <w:ind w:left="360"/>
      </w:pPr>
      <w:r/>
      <w:r>
        <w:rPr>
          <w:b/>
        </w:rPr>
        <w:t>`validation_volcano_hspc_filtered.png`</w:t>
      </w:r>
      <w:r/>
    </w:p>
    <w:p>
      <w:pPr>
        <w:pStyle w:val="ListBullet"/>
        <w:spacing w:after="60"/>
        <w:ind w:left="720"/>
      </w:pPr>
      <w:r/>
      <w:r>
        <w:rPr>
          <w:b/>
        </w:rPr>
        <w:t>定义</w:t>
      </w:r>
      <w:r>
        <w:t>：验证集（GSE13159）的火山图，只高亮标注通过筛选的 106 个安全基因。</w:t>
      </w:r>
    </w:p>
    <w:p>
      <w:pPr>
        <w:pStyle w:val="Heading3"/>
        <w:spacing w:before="120" w:after="40"/>
      </w:pPr>
      <w:r>
        <w:rPr>
          <w:rFonts w:ascii="Arial" w:hAnsi="Arial"/>
          <w:b/>
          <w:color w:val="5A5A5A"/>
          <w:sz w:val="24"/>
        </w:rPr>
        <w:t>3. 最终聚类热图</w:t>
      </w:r>
    </w:p>
    <w:p>
      <w:pPr>
        <w:pStyle w:val="ListBullet"/>
        <w:spacing w:after="60"/>
        <w:ind w:left="360"/>
      </w:pPr>
      <w:r/>
      <w:r>
        <w:rPr>
          <w:b/>
        </w:rPr>
        <w:t>`heatmap_hspc_filtered.png`</w:t>
      </w:r>
      <w:r/>
    </w:p>
    <w:p>
      <w:pPr>
        <w:pStyle w:val="ListBullet"/>
        <w:spacing w:after="60"/>
        <w:ind w:left="720"/>
      </w:pPr>
      <w:r/>
      <w:r>
        <w:rPr>
          <w:b/>
        </w:rPr>
        <w:t>定义</w:t>
      </w:r>
      <w:r>
        <w:t>：106 个安全基因中在发现集最具代表性的前 50 个基因的双向层级聚类热图。</w:t>
      </w:r>
    </w:p>
    <w:p>
      <w:pPr>
        <w:pStyle w:val="ListBullet"/>
        <w:spacing w:after="60"/>
        <w:ind w:left="720"/>
      </w:pPr>
      <w:r/>
      <w:r>
        <w:rPr>
          <w:b/>
        </w:rPr>
        <w:t>解释</w:t>
      </w:r>
      <w:r>
        <w:t>：横轴包含 906 个样本（151 例 TCGA AML 与 755 例 GTEx 正常对照），纵轴为基因。结果表明，即使排除了造血干细胞高表达的基因，剩余的安全标志物基因依然能够完美将 AML 癌症患者与正常对照组样本区分开，具有极强的分类诊断能力。</w:t>
      </w:r>
    </w:p>
    <w:p>
      <w:pPr>
        <w:spacing w:after="120" w:line="276" w:lineRule="auto"/>
      </w:pPr>
      <w:r>
        <w:t>---</w:t>
      </w:r>
    </w:p>
    <w:p>
      <w:pPr>
        <w:pStyle w:val="Heading2"/>
        <w:spacing w:before="240" w:after="80"/>
      </w:pPr>
      <w:r>
        <w:rPr>
          <w:rFonts w:ascii="Arial" w:hAnsi="Arial"/>
          <w:b/>
          <w:color w:val="2E75B6"/>
          <w:sz w:val="28"/>
        </w:rPr>
        <w:t>三、 核心生信与生物学逻辑解析：为什么这么做？</w:t>
      </w:r>
    </w:p>
    <w:p>
      <w:pPr>
        <w:pStyle w:val="Heading3"/>
        <w:spacing w:before="120" w:after="40"/>
      </w:pPr>
      <w:r>
        <w:rPr>
          <w:rFonts w:ascii="Arial" w:hAnsi="Arial"/>
          <w:b/>
          <w:color w:val="5A5A5A"/>
          <w:sz w:val="24"/>
        </w:rPr>
        <w:t>1. 为什么不用 ComBat 矫正表达矩阵，而是选择直和交集？</w:t>
      </w:r>
    </w:p>
    <w:p>
      <w:pPr>
        <w:pStyle w:val="ListBullet"/>
        <w:spacing w:after="60"/>
        <w:ind w:left="360"/>
      </w:pPr>
      <w:r/>
      <w:r>
        <w:rPr>
          <w:b/>
        </w:rPr>
        <w:t>ComBat 的局限性</w:t>
      </w:r>
      <w:r>
        <w:t>：ComBat 是基于经验贝叶斯估计批次参数的工具。它要求批次变量与生物学变量不完全共线性。但在我们的发现集中，</w:t>
      </w:r>
      <w:r>
        <w:rPr>
          <w:b/>
        </w:rPr>
        <w:t>TCGA 只有白血病样本，GTEx 只有正常血液样本</w:t>
      </w:r>
      <w:r>
        <w:t>。批次（TCGA vs GTEx）和生物（AML vs Normal）完全重合。</w:t>
      </w:r>
    </w:p>
    <w:p>
      <w:pPr>
        <w:pStyle w:val="ListBullet"/>
        <w:spacing w:after="60"/>
        <w:ind w:left="360"/>
      </w:pPr>
      <w:r/>
      <w:r>
        <w:rPr>
          <w:b/>
        </w:rPr>
        <w:t>过度矫正的灾难</w:t>
      </w:r>
      <w:r>
        <w:t>：如果我们强行让 ComBat 校正平台差异，ComBat 会把“AML 相比 Normal 的高表达”误认为“TCGA 相比 GTEx 的平台系统偏差”并将其减去。这会导致</w:t>
      </w:r>
      <w:r>
        <w:rPr>
          <w:b/>
        </w:rPr>
        <w:t>白血病特有的癌性特征信号被完全抹杀</w:t>
      </w:r>
      <w:r>
        <w:t>。实验显示，经 ComBat 处理后，发现集与验证集的共有重叠基因为 0。</w:t>
      </w:r>
    </w:p>
    <w:p>
      <w:pPr>
        <w:pStyle w:val="ListBullet"/>
        <w:spacing w:after="60"/>
        <w:ind w:left="360"/>
      </w:pPr>
      <w:r/>
      <w:r>
        <w:rPr>
          <w:b/>
        </w:rPr>
        <w:t>交集过滤的巧妙</w:t>
      </w:r>
      <w:r>
        <w:t xml:space="preserve">：直接对未矫正的数据使用 </w:t>
      </w:r>
      <w:r>
        <w:rPr>
          <w:rFonts w:ascii="Courier New" w:hAnsi="Courier New"/>
          <w:color w:val="505050"/>
          <w:sz w:val="19"/>
        </w:rPr>
        <w:t>limma</w:t>
      </w:r>
      <w:r>
        <w:t xml:space="preserve"> 做差异分析，此时差异基因中混有“真实 AML 信号”和“TCGA-GTEx 平台偏差”。接着我们在 GSE13159（单平台，同时含 AML 和正常对照）中也独立做 </w:t>
      </w:r>
      <w:r>
        <w:rPr>
          <w:rFonts w:ascii="Courier New" w:hAnsi="Courier New"/>
          <w:color w:val="505050"/>
          <w:sz w:val="19"/>
        </w:rPr>
        <w:t>limma</w:t>
      </w:r>
      <w:r>
        <w:t xml:space="preserve"> 分析。因为平台系统偏差只存在于发现集中，绝不可能在 GSE13159 中显著差异表达。因此，将两个列表求交集，</w:t>
      </w:r>
      <w:r>
        <w:rPr>
          <w:b/>
        </w:rPr>
        <w:t>平台系统偏差会被天然剔除，只留下真正跨平台强健的 AML 差异信号</w:t>
      </w:r>
      <w:r>
        <w:t>。</w:t>
      </w:r>
    </w:p>
    <w:p>
      <w:pPr>
        <w:pStyle w:val="Heading3"/>
        <w:spacing w:before="120" w:after="40"/>
      </w:pPr>
      <w:r>
        <w:rPr>
          <w:rFonts w:ascii="Arial" w:hAnsi="Arial"/>
          <w:b/>
          <w:color w:val="5A5A5A"/>
          <w:sz w:val="24"/>
        </w:rPr>
        <w:t>2. 为什么要引入 GSE24759 排除正常造血干/祖细胞高表达基因？</w:t>
      </w:r>
    </w:p>
    <w:p>
      <w:pPr>
        <w:pStyle w:val="ListBullet"/>
        <w:spacing w:after="60"/>
        <w:ind w:left="360"/>
      </w:pPr>
      <w:r/>
      <w:r>
        <w:rPr>
          <w:b/>
        </w:rPr>
        <w:t>临床靶向毒性（Myelosuppression）</w:t>
      </w:r>
      <w:r>
        <w:t xml:space="preserve">：很多被白血病细胞疯狂表达的基因，其在正常人体成熟血细胞（GTEx 全血）中不表达，但在正常骨髓造血干细胞（HSC, CMP, GMP, MEP）中其实是维持自我更新的必需基因（如 </w:t>
      </w:r>
      <w:r>
        <w:rPr>
          <w:rFonts w:ascii="Courier New" w:hAnsi="Courier New"/>
          <w:color w:val="505050"/>
          <w:sz w:val="19"/>
        </w:rPr>
        <w:t>FLT3</w:t>
      </w:r>
      <w:r>
        <w:t>）。</w:t>
      </w:r>
    </w:p>
    <w:p>
      <w:pPr>
        <w:pStyle w:val="ListBullet"/>
        <w:spacing w:after="60"/>
        <w:ind w:left="360"/>
      </w:pPr>
      <w:r/>
      <w:r>
        <w:rPr>
          <w:b/>
        </w:rPr>
        <w:t>防止脱靶效应</w:t>
      </w:r>
      <w:r>
        <w:t>：如果针对这些在造血干细胞中高表达的基因开发靶向治疗（如 CAR-T 细胞治疗、单抗偶联药物 ADC），治疗药物会将白血病细胞和健康的造血母细胞一并杀死，导致患者发生</w:t>
      </w:r>
      <w:r>
        <w:rPr>
          <w:b/>
        </w:rPr>
        <w:t>不可逆的骨髓衰竭和严重的全血细胞减少症</w:t>
      </w:r>
      <w:r>
        <w:t>（脱靶毒性）。</w:t>
      </w:r>
    </w:p>
    <w:p>
      <w:pPr>
        <w:pStyle w:val="ListBullet"/>
        <w:spacing w:after="60"/>
        <w:ind w:left="360"/>
      </w:pPr>
      <w:r/>
      <w:r>
        <w:rPr>
          <w:b/>
        </w:rPr>
        <w:t>保障成药性</w:t>
      </w:r>
      <w:r>
        <w:t xml:space="preserve">：利用 GSE24759 对 131 个高置信度基因进行筛查，剔除 </w:t>
      </w:r>
      <w:r>
        <w:rPr>
          <w:rFonts w:ascii="Courier New" w:hAnsi="Courier New"/>
          <w:color w:val="505050"/>
          <w:sz w:val="19"/>
        </w:rPr>
        <w:t>FLT3</w:t>
      </w:r>
      <w:r>
        <w:t>、</w:t>
      </w:r>
      <w:r>
        <w:rPr>
          <w:rFonts w:ascii="Courier New" w:hAnsi="Courier New"/>
          <w:color w:val="505050"/>
          <w:sz w:val="19"/>
        </w:rPr>
        <w:t>JUP</w:t>
      </w:r>
      <w:r>
        <w:t>、</w:t>
      </w:r>
      <w:r>
        <w:rPr>
          <w:rFonts w:ascii="Courier New" w:hAnsi="Courier New"/>
          <w:color w:val="505050"/>
          <w:sz w:val="19"/>
        </w:rPr>
        <w:t>GUCY1A3</w:t>
      </w:r>
      <w:r>
        <w:t xml:space="preserve"> 这 3 个干细胞高表达基因，保留 </w:t>
      </w:r>
      <w:r>
        <w:rPr>
          <w:rFonts w:ascii="Courier New" w:hAnsi="Courier New"/>
          <w:color w:val="505050"/>
          <w:sz w:val="19"/>
        </w:rPr>
        <w:t>WT1</w:t>
      </w:r>
      <w:r>
        <w:t>、</w:t>
      </w:r>
      <w:r>
        <w:rPr>
          <w:rFonts w:ascii="Courier New" w:hAnsi="Courier New"/>
          <w:color w:val="505050"/>
          <w:sz w:val="19"/>
        </w:rPr>
        <w:t>IL3RA</w:t>
      </w:r>
      <w:r>
        <w:t xml:space="preserve"> (CD123) 等干细胞低表达基因，能够帮助我们在最早期就</w:t>
      </w:r>
      <w:r>
        <w:rPr>
          <w:b/>
        </w:rPr>
        <w:t>筛选出高安全性、临床可成药的特异性 AML 免疫靶点</w:t>
      </w:r>
      <w:r>
        <w:t>。</w:t>
      </w:r>
    </w:p>
    <w:p>
      <w:pPr>
        <w:spacing w:after="120" w:line="276" w:lineRule="auto"/>
      </w:pPr>
      <w:r>
        <w:t>---</w:t>
      </w:r>
    </w:p>
    <w:p>
      <w:pPr>
        <w:pStyle w:val="Heading2"/>
        <w:spacing w:before="240" w:after="80"/>
      </w:pPr>
      <w:r>
        <w:rPr>
          <w:rFonts w:ascii="Arial" w:hAnsi="Arial"/>
          <w:b/>
          <w:color w:val="2E75B6"/>
          <w:sz w:val="28"/>
        </w:rPr>
        <w:t>四、 下游应用前景：这些标志物以后如何利用？</w:t>
      </w:r>
    </w:p>
    <w:p>
      <w:pPr>
        <w:spacing w:after="120" w:line="276" w:lineRule="auto"/>
      </w:pPr>
      <w:r>
        <w:t xml:space="preserve">1. </w:t>
      </w:r>
      <w:r>
        <w:rPr>
          <w:b/>
        </w:rPr>
        <w:t>靶向药物与免疫疗法靶点开发</w:t>
      </w:r>
      <w:r>
        <w:t>：</w:t>
      </w:r>
    </w:p>
    <w:p>
      <w:pPr>
        <w:pStyle w:val="ListBullet"/>
        <w:spacing w:after="60"/>
        <w:ind w:left="720"/>
      </w:pPr>
      <w:r>
        <w:t>保留的 9 个上调基因中，</w:t>
      </w:r>
      <w:r>
        <w:rPr>
          <w:rFonts w:ascii="Courier New" w:hAnsi="Courier New"/>
          <w:color w:val="505050"/>
          <w:sz w:val="19"/>
        </w:rPr>
        <w:t>IL3RA</w:t>
      </w:r>
      <w:r>
        <w:t xml:space="preserve"> (CD123) 已经在临床上被作为 AML 靶向药物（如 Tagraxofusp）的靶点；</w:t>
      </w:r>
      <w:r>
        <w:rPr>
          <w:rFonts w:ascii="Courier New" w:hAnsi="Courier New"/>
          <w:color w:val="505050"/>
          <w:sz w:val="19"/>
        </w:rPr>
        <w:t>WT1</w:t>
      </w:r>
      <w:r>
        <w:t xml:space="preserve"> 被广泛用于 TCR-T 细胞疗法及肽段疫苗的开发；</w:t>
      </w:r>
      <w:r>
        <w:rPr>
          <w:rFonts w:ascii="Courier New" w:hAnsi="Courier New"/>
          <w:color w:val="505050"/>
          <w:sz w:val="19"/>
        </w:rPr>
        <w:t>CCNA1</w:t>
      </w:r>
      <w:r>
        <w:t>（细胞周期蛋白 A1）也是一种 AML 特异性胞内抗原。这些均验证了我们筛选逻辑的临床符合性。</w:t>
      </w:r>
    </w:p>
    <w:p>
      <w:pPr>
        <w:spacing w:after="120" w:line="276" w:lineRule="auto"/>
      </w:pPr>
      <w:r>
        <w:t xml:space="preserve">2. </w:t>
      </w:r>
      <w:r>
        <w:rPr>
          <w:b/>
        </w:rPr>
        <w:t>开发高安全性、高泛化性的白血病诊断分类器</w:t>
      </w:r>
      <w:r>
        <w:t>：</w:t>
      </w:r>
    </w:p>
    <w:p>
      <w:pPr>
        <w:pStyle w:val="ListBullet"/>
        <w:spacing w:after="60"/>
        <w:ind w:left="720"/>
      </w:pPr>
      <w:r>
        <w:t>利用这 106 个高置信度基因，我们可以进一步利用逻辑回归（Lasso）或随机森林等算法构建模型。在独立验证集上进行诊断评估，可以得到高敏感性与高特异性的诊断特征模型。</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