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5A5A5A"/>
          <w:sz w:val="30"/>
          <w:szCs w:val="30"/>
        </w:rPr>
        <w:t xml:space="preserve">OFFRE TECHNIQUE</w:t>
      </w:r>
    </w:p>
    <w:p>
      <w:pPr>
        <w:spacing w:after="300" w:before="200"/>
        <w:jc w:val="center"/>
      </w:pPr>
      <w:r>
        <w:rPr>
          <w:b/>
          <w:bCs/>
          <w:color w:val="1F3A5F"/>
          <w:sz w:val="72"/>
          <w:szCs w:val="72"/>
        </w:rPr>
        <w:t xml:space="preserve">Béninfood</w:t>
      </w:r>
    </w:p>
    <w:p>
      <w:pPr>
        <w:spacing w:after="600"/>
        <w:jc w:val="center"/>
      </w:pPr>
      <w:r>
        <w:rPr>
          <w:i/>
          <w:iCs/>
          <w:color w:val="E8792B"/>
          <w:sz w:val="24"/>
          <w:szCs w:val="24"/>
        </w:rPr>
        <w:t xml:space="preserve">Réponse technique au cahier des charges — compréhension du besoin, solution proposée et organisation du projet</w:t>
      </w:r>
    </w:p>
    <w:tbl>
      <w:tblPr>
        <w:tblW w:type="dxa" w:w="6400"/>
        <w:jc w:val="center"/>
        <w:tblBorders>
          <w:top w:val="none"/>
          <w:left w:val="none"/>
          <w:bottom w:val="none"/>
          <w:right w:val="none"/>
          <w:insideH w:val="none"/>
          <w:insideV w:val="none"/>
        </w:tblBorders>
      </w:tblPr>
      <w:tblGrid>
        <w:gridCol w:w="2200"/>
        <w:gridCol w:w="4200"/>
      </w:tblGrid>
      <w:tr>
        <w:tc>
          <w:tcPr>
            <w:tcW w:type="dxa" w:w="2200"/>
          </w:tcPr>
          <w:p>
            <w:pPr>
              <w:spacing w:after="160" w:line="300"/>
            </w:pPr>
            <w:r>
              <w:rPr>
                <w:b/>
                <w:bCs/>
                <w:sz w:val="20"/>
                <w:szCs w:val="20"/>
              </w:rPr>
              <w:t xml:space="preserve">Destinataire</w:t>
            </w:r>
          </w:p>
        </w:tc>
        <w:tc>
          <w:tcPr>
            <w:tcW w:type="dxa" w:w="4200"/>
          </w:tcPr>
          <w:p>
            <w:pPr>
              <w:spacing w:after="160" w:line="300"/>
            </w:pPr>
            <w:r>
              <w:rPr>
                <w:sz w:val="20"/>
                <w:szCs w:val="20"/>
              </w:rPr>
              <w:t xml:space="preserve">Porteuse du projet Béninfood (à compléter)</w:t>
            </w:r>
          </w:p>
        </w:tc>
      </w:tr>
      <w:tr>
        <w:tc>
          <w:tcPr>
            <w:tcW w:type="dxa" w:w="2200"/>
          </w:tcPr>
          <w:p>
            <w:pPr>
              <w:spacing w:after="160" w:line="300"/>
            </w:pPr>
            <w:r>
              <w:rPr>
                <w:b/>
                <w:bCs/>
                <w:sz w:val="20"/>
                <w:szCs w:val="20"/>
              </w:rPr>
              <w:t xml:space="preserve">Émetteur</w:t>
            </w:r>
          </w:p>
        </w:tc>
        <w:tc>
          <w:tcPr>
            <w:tcW w:type="dxa" w:w="4200"/>
          </w:tcPr>
          <w:p>
            <w:pPr>
              <w:spacing w:after="160" w:line="300"/>
            </w:pPr>
            <w:r>
              <w:rPr>
                <w:sz w:val="20"/>
                <w:szCs w:val="20"/>
              </w:rPr>
              <w:t xml:space="preserve">Ingénieur logiciel</w:t>
            </w:r>
          </w:p>
        </w:tc>
      </w:tr>
      <w:tr>
        <w:tc>
          <w:tcPr>
            <w:tcW w:type="dxa" w:w="2200"/>
          </w:tcPr>
          <w:p>
            <w:pPr>
              <w:spacing w:after="160" w:line="300"/>
            </w:pPr>
            <w:r>
              <w:rPr>
                <w:b/>
                <w:bCs/>
                <w:sz w:val="20"/>
                <w:szCs w:val="20"/>
              </w:rPr>
              <w:t xml:space="preserve">Objet</w:t>
            </w:r>
          </w:p>
        </w:tc>
        <w:tc>
          <w:tcPr>
            <w:tcW w:type="dxa" w:w="4200"/>
          </w:tcPr>
          <w:p>
            <w:pPr>
              <w:spacing w:after="160" w:line="300"/>
            </w:pPr>
            <w:r>
              <w:rPr>
                <w:sz w:val="20"/>
                <w:szCs w:val="20"/>
              </w:rPr>
              <w:t xml:space="preserve">Réponse technique au cahier des charges v1.0</w:t>
            </w:r>
          </w:p>
        </w:tc>
      </w:tr>
      <w:tr>
        <w:tc>
          <w:tcPr>
            <w:tcW w:type="dxa" w:w="2200"/>
          </w:tcPr>
          <w:p>
            <w:pPr>
              <w:spacing w:after="160" w:line="300"/>
            </w:pPr>
            <w:r>
              <w:rPr>
                <w:b/>
                <w:bCs/>
                <w:sz w:val="20"/>
                <w:szCs w:val="20"/>
              </w:rPr>
              <w:t xml:space="preserve">Document de référence</w:t>
            </w:r>
          </w:p>
        </w:tc>
        <w:tc>
          <w:tcPr>
            <w:tcW w:type="dxa" w:w="4200"/>
          </w:tcPr>
          <w:p>
            <w:pPr>
              <w:spacing w:after="160" w:line="300"/>
            </w:pPr>
            <w:r>
              <w:rPr>
                <w:sz w:val="20"/>
                <w:szCs w:val="20"/>
              </w:rPr>
              <w:t xml:space="preserve">Cahier des charges — Béninfood, v1.0</w:t>
            </w:r>
          </w:p>
        </w:tc>
      </w:tr>
      <w:tr>
        <w:tc>
          <w:tcPr>
            <w:tcW w:type="dxa" w:w="2200"/>
          </w:tcPr>
          <w:p>
            <w:pPr>
              <w:spacing w:after="160" w:line="300"/>
            </w:pPr>
            <w:r>
              <w:rPr>
                <w:b/>
                <w:bCs/>
                <w:sz w:val="20"/>
                <w:szCs w:val="20"/>
              </w:rPr>
              <w:t xml:space="preserve">Version</w:t>
            </w:r>
          </w:p>
        </w:tc>
        <w:tc>
          <w:tcPr>
            <w:tcW w:type="dxa" w:w="4200"/>
          </w:tcPr>
          <w:p>
            <w:pPr>
              <w:spacing w:after="160" w:line="300"/>
            </w:pPr>
            <w:r>
              <w:rPr>
                <w:sz w:val="20"/>
                <w:szCs w:val="20"/>
              </w:rPr>
              <w:t xml:space="preserve">1.0</w:t>
            </w:r>
          </w:p>
        </w:tc>
      </w:tr>
      <w:tr>
        <w:tc>
          <w:tcPr>
            <w:tcW w:type="dxa" w:w="2200"/>
          </w:tcPr>
          <w:p>
            <w:pPr>
              <w:spacing w:after="160" w:line="300"/>
            </w:pPr>
            <w:r>
              <w:rPr>
                <w:b/>
                <w:bCs/>
                <w:sz w:val="20"/>
                <w:szCs w:val="20"/>
              </w:rPr>
              <w:t xml:space="preserve">Date</w:t>
            </w:r>
          </w:p>
        </w:tc>
        <w:tc>
          <w:tcPr>
            <w:tcW w:type="dxa" w:w="4200"/>
          </w:tcPr>
          <w:p>
            <w:pPr>
              <w:spacing w:after="160" w:line="300"/>
            </w:pPr>
            <w:r>
              <w:rPr>
                <w:sz w:val="20"/>
                <w:szCs w:val="20"/>
              </w:rPr>
              <w:t xml:space="preserve">Septembre 2026</w:t>
            </w:r>
          </w:p>
        </w:tc>
      </w:tr>
    </w:tbl>
    <w:p>
      <w:r>
        <w:br w:type="page"/>
      </w:r>
    </w:p>
    <w:p>
      <w:pPr>
        <w:pStyle w:val="Heading1"/>
        <w:spacing w:after="200" w:before="40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Préambule</w:t>
      </w:r>
    </w:p>
    <w:p>
      <w:pPr>
        <w:spacing w:after="160" w:line="300"/>
      </w:pPr>
      <w:r>
        <w:t xml:space="preserve">Ce document constitue la réponse technique au cahier des charges Béninfood (version 1.0). Il a pour objectif de démontrer notre compréhension du besoin exprimé, puis de présenter la solution technique, la méthodologie de travail et l'organisation proposées pour la réalisation du projet.</w:t>
      </w:r>
    </w:p>
    <w:p>
      <w:pPr>
        <w:spacing w:after="160" w:line="300"/>
      </w:pPr>
      <w:r>
        <w:t xml:space="preserve">La présente offre est exclusivement technique. L'offre financière (coûts détaillés, modalités et échéancier de paiement) fait l'objet d'un document distinct, établi une fois le périmètre du MVP validé avec la porteuse du projet.</w:t>
      </w:r>
    </w:p>
    <w:p>
      <w:pPr>
        <w:pStyle w:val="Heading1"/>
        <w:spacing w:after="200" w:before="400"/>
      </w:pPr>
      <w:r>
        <w:t xml:space="preserve">2. Compréhension du besoin</w:t>
      </w:r>
    </w:p>
    <w:p>
      <w:pPr>
        <w:pStyle w:val="Heading2"/>
        <w:spacing w:after="150" w:before="300"/>
      </w:pPr>
      <w:r>
        <w:t xml:space="preserve">2.1 Le contexte tel que nous le comprenons</w:t>
      </w:r>
    </w:p>
    <w:p>
      <w:pPr>
        <w:spacing w:after="160" w:line="300"/>
      </w:pPr>
      <w:r>
        <w:t xml:space="preserve">Béninfood répond à un problème concret et local : de nombreux petits vendeurs de nourriture au Bénin — vendeuses de rue, cantines, maquis, restaurants de quartier — disposent d'une clientèle réelle et d'une offre quotidienne, mais n'ont ni les moyens ni les compétences pour se doter d'un outil numérique de vente en ligne.</w:t>
      </w:r>
    </w:p>
    <w:p>
      <w:pPr>
        <w:spacing w:after="160" w:line="300"/>
      </w:pPr>
      <w:r>
        <w:t xml:space="preserve">Nous avons bien identifié que la valeur du projet ne réside pas dans « une application de plus pour commander à manger », mais dans sa capacité à donner à ces vendeurs une existence numérique et un canal de vente supplémentaire, sans qu'ils aient à investir dans leur propre application.</w:t>
      </w:r>
    </w:p>
    <w:p>
      <w:pPr>
        <w:pStyle w:val="Heading2"/>
        <w:spacing w:after="150" w:before="300"/>
      </w:pPr>
      <w:r>
        <w:t xml:space="preserve">2.2 Ce que nous retenons du besoin</w:t>
      </w:r>
    </w:p>
    <w:p>
      <w:pPr>
        <w:pStyle w:val="ListParagraph"/>
        <w:numPr>
          <w:ilvl w:val="0"/>
          <w:numId w:val="1"/>
        </w:numPr>
        <w:spacing w:after="80" w:line="280"/>
      </w:pPr>
      <w:r>
        <w:t xml:space="preserve">Une plateforme centrale à trois usages : vitrine pour les vendeurs, moteur de recherche et de commande pour les clients, outil de pilotage pour la porteuse du projet.</w:t>
      </w:r>
    </w:p>
    <w:p>
      <w:pPr>
        <w:pStyle w:val="ListParagraph"/>
        <w:numPr>
          <w:ilvl w:val="0"/>
          <w:numId w:val="1"/>
        </w:numPr>
        <w:spacing w:after="80" w:line="280"/>
      </w:pPr>
      <w:r>
        <w:t xml:space="preserve">Une gouvernance à deux niveaux clairement séparée : la porteuse du projet gère l'activité métier via un back-office, l'équipe technique assure la maintenance sans être impliquée dans la gestion commerciale quotidienne.</w:t>
      </w:r>
    </w:p>
    <w:p>
      <w:pPr>
        <w:pStyle w:val="ListParagraph"/>
        <w:numPr>
          <w:ilvl w:val="0"/>
          <w:numId w:val="1"/>
        </w:numPr>
        <w:spacing w:after="80" w:line="280"/>
      </w:pPr>
      <w:r>
        <w:t xml:space="preserve">Cinq profils d'acteurs aux besoins différents : super administrateur technique, administrateur métier, vendeur, client, livreur.</w:t>
      </w:r>
    </w:p>
    <w:p>
      <w:pPr>
        <w:pStyle w:val="ListParagraph"/>
        <w:numPr>
          <w:ilvl w:val="0"/>
          <w:numId w:val="1"/>
        </w:numPr>
        <w:spacing w:after="80" w:line="280"/>
      </w:pPr>
      <w:r>
        <w:t xml:space="preserve">Un modèle économique fondé principalement sur la commission prélevée à chaque commande, avec des sources de revenus complémentaires envisageables plus tard (abonnement, mise en avant, publicité).</w:t>
      </w:r>
    </w:p>
    <w:p>
      <w:pPr>
        <w:pStyle w:val="ListParagraph"/>
        <w:numPr>
          <w:ilvl w:val="0"/>
          <w:numId w:val="1"/>
        </w:numPr>
        <w:spacing w:after="80" w:line="280"/>
      </w:pPr>
      <w:r>
        <w:t xml:space="preserve">Une nécessité de traçabilité financière rigoureuse : chaque commande doit permettre de retrouver précisément la part vendeur, la part plateforme et, le cas échéant, les frais de livraison.</w:t>
      </w:r>
    </w:p>
    <w:p>
      <w:pPr>
        <w:pStyle w:val="ListParagraph"/>
        <w:numPr>
          <w:ilvl w:val="0"/>
          <w:numId w:val="1"/>
        </w:numPr>
        <w:spacing w:after="80" w:line="280"/>
      </w:pPr>
      <w:r>
        <w:t xml:space="preserve">Une recommandation forte de démarrer par un MVP resserré plutôt que de construire l'ensemble des fonctionnalités (et les applications mobiles) dès le départ.</w:t>
      </w:r>
    </w:p>
    <w:p>
      <w:pPr>
        <w:pStyle w:val="Heading2"/>
        <w:spacing w:after="150" w:before="300"/>
      </w:pPr>
      <w:r>
        <w:t xml:space="preserve">2.3 Les enjeux clés que nous avons identifiés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A5F" w:val="clear"/>
            <w:tcMar>
              <w:top w:type="dxa" w:w="80"/>
              <w:left w:type="dxa" w:w="100"/>
              <w:bottom w:type="dxa" w:w="80"/>
              <w:right w:type="dxa" w:w="100"/>
            </w:tcMar>
            <w:vAlign w:val="center"/>
          </w:tcPr>
          <w:p>
            <w:r>
              <w:rPr>
                <w:b/>
                <w:bCs/>
                <w:color w:val="FFFFFF"/>
                <w:sz w:val="20"/>
                <w:szCs w:val="20"/>
              </w:rPr>
              <w:t xml:space="preserve">Enjeu</w:t>
            </w:r>
          </w:p>
        </w:tc>
        <w:tc>
          <w:tcPr>
            <w:tcW w:type="dxa" w:w="6900"/>
            <w:shd w:fill="1F3A5F" w:val="clear"/>
            <w:tcMar>
              <w:top w:type="dxa" w:w="80"/>
              <w:left w:type="dxa" w:w="100"/>
              <w:bottom w:type="dxa" w:w="80"/>
              <w:right w:type="dxa" w:w="100"/>
            </w:tcMar>
            <w:vAlign w:val="center"/>
          </w:tcPr>
          <w:p>
            <w:r>
              <w:rPr>
                <w:b/>
                <w:bCs/>
                <w:color w:val="FFFFFF"/>
                <w:sz w:val="20"/>
                <w:szCs w:val="20"/>
              </w:rPr>
              <w:t xml:space="preserve">Notre lecture</w:t>
            </w:r>
          </w:p>
        </w:tc>
      </w:tr>
      <w:tr>
        <w:tc>
          <w:tcPr>
            <w:tcW w:type="dxa" w:w="2600"/>
            <w:tcMar>
              <w:top w:type="dxa" w:w="80"/>
              <w:left w:type="dxa" w:w="100"/>
              <w:bottom w:type="dxa" w:w="80"/>
              <w:right w:type="dxa" w:w="100"/>
            </w:tcMar>
            <w:vAlign w:val="center"/>
          </w:tcPr>
          <w:p>
            <w:r>
              <w:rPr>
                <w:b w:val="false"/>
                <w:bCs w:val="false"/>
                <w:sz w:val="20"/>
                <w:szCs w:val="20"/>
              </w:rPr>
              <w:t xml:space="preserve">Paiement</w:t>
            </w:r>
          </w:p>
        </w:tc>
        <w:tc>
          <w:tcPr>
            <w:tcW w:type="dxa" w:w="6900"/>
            <w:tcMar>
              <w:top w:type="dxa" w:w="80"/>
              <w:left w:type="dxa" w:w="100"/>
              <w:bottom w:type="dxa" w:w="80"/>
              <w:right w:type="dxa" w:w="100"/>
            </w:tcMar>
            <w:vAlign w:val="center"/>
          </w:tcPr>
          <w:p>
            <w:r>
              <w:rPr>
                <w:b w:val="false"/>
                <w:bCs w:val="false"/>
                <w:sz w:val="20"/>
                <w:szCs w:val="20"/>
              </w:rPr>
              <w:t xml:space="preserve">Le mobile money sera très probablement le moyen de paiement central. Le choix de l'agrégateur et la validation de ses conditions et de son API sont un prérequis avant toute intégration technique.</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Livraison</w:t>
            </w:r>
          </w:p>
        </w:tc>
        <w:tc>
          <w:tcPr>
            <w:tcW w:type="dxa" w:w="6900"/>
            <w:shd w:fill="F2F2F2" w:val="clear"/>
            <w:tcMar>
              <w:top w:type="dxa" w:w="80"/>
              <w:left w:type="dxa" w:w="100"/>
              <w:bottom w:type="dxa" w:w="80"/>
              <w:right w:type="dxa" w:w="100"/>
            </w:tcMar>
            <w:vAlign w:val="center"/>
          </w:tcPr>
          <w:p>
            <w:r>
              <w:rPr>
                <w:b w:val="false"/>
                <w:bCs w:val="false"/>
                <w:sz w:val="20"/>
                <w:szCs w:val="20"/>
              </w:rPr>
              <w:t xml:space="preserve">C'est potentiellement le sujet le plus complexe du projet, plus que la partie vitrine/commande elle-même. Il conditionne fortement le périmètre du MVP.</w:t>
            </w:r>
          </w:p>
        </w:tc>
      </w:tr>
      <w:tr>
        <w:tc>
          <w:tcPr>
            <w:tcW w:type="dxa" w:w="2600"/>
            <w:tcMar>
              <w:top w:type="dxa" w:w="80"/>
              <w:left w:type="dxa" w:w="100"/>
              <w:bottom w:type="dxa" w:w="80"/>
              <w:right w:type="dxa" w:w="100"/>
            </w:tcMar>
            <w:vAlign w:val="center"/>
          </w:tcPr>
          <w:p>
            <w:r>
              <w:rPr>
                <w:b w:val="false"/>
                <w:bCs w:val="false"/>
                <w:sz w:val="20"/>
                <w:szCs w:val="20"/>
              </w:rPr>
              <w:t xml:space="preserve">Confiance</w:t>
            </w:r>
          </w:p>
        </w:tc>
        <w:tc>
          <w:tcPr>
            <w:tcW w:type="dxa" w:w="6900"/>
            <w:tcMar>
              <w:top w:type="dxa" w:w="80"/>
              <w:left w:type="dxa" w:w="100"/>
              <w:bottom w:type="dxa" w:w="80"/>
              <w:right w:type="dxa" w:w="100"/>
            </w:tcMar>
            <w:vAlign w:val="center"/>
          </w:tcPr>
          <w:p>
            <w:r>
              <w:rPr>
                <w:b w:val="false"/>
                <w:bCs w:val="false"/>
                <w:sz w:val="20"/>
                <w:szCs w:val="20"/>
              </w:rPr>
              <w:t xml:space="preserve">La réputation de la plateforme dépendra de la fiabilité des vendeurs qu'elle héberge. Notes, réclamations et remboursements doivent exister dès le MVP, même sous une forme simple.</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Adoption par les petits vendeurs</w:t>
            </w:r>
          </w:p>
        </w:tc>
        <w:tc>
          <w:tcPr>
            <w:tcW w:type="dxa" w:w="6900"/>
            <w:shd w:fill="F2F2F2" w:val="clear"/>
            <w:tcMar>
              <w:top w:type="dxa" w:w="80"/>
              <w:left w:type="dxa" w:w="100"/>
              <w:bottom w:type="dxa" w:w="80"/>
              <w:right w:type="dxa" w:w="100"/>
            </w:tcMar>
            <w:vAlign w:val="center"/>
          </w:tcPr>
          <w:p>
            <w:r>
              <w:rPr>
                <w:b w:val="false"/>
                <w:bCs w:val="false"/>
                <w:sz w:val="20"/>
                <w:szCs w:val="20"/>
              </w:rPr>
              <w:t xml:space="preserve">Le succès du projet dépend de la simplicité d'usage côté vendeur : l'ajout d'un plat ou l'ouverture de la boutique doivent être des gestes rapides, sans compétence technique requise.</w:t>
            </w:r>
          </w:p>
        </w:tc>
      </w:tr>
    </w:tbl>
    <w:p>
      <w:pPr>
        <w:pStyle w:val="Heading2"/>
        <w:spacing w:after="150" w:before="300"/>
      </w:pPr>
      <w:r>
        <w:t xml:space="preserve">2.4 Notre définition de la réussite du projet</w:t>
      </w:r>
    </w:p>
    <w:p>
      <w:pPr>
        <w:spacing w:after="160" w:line="300"/>
      </w:pPr>
      <w:r>
        <w:t xml:space="preserve">Un vendeur qui n'a jamais utilisé d'outil numérique doit pouvoir publier son premier plat en moins de cinq minutes. Un client doit pouvoir passer une commande en quelques écrans. La porteuse du projet doit pouvoir, chaque jour, savoir précisément combien de commandes ont été passées, quel chiffre d'affaires a été généré et quelle commission revient à la plateforme — sans avoir besoin d'un accès technique à la base de données.</w:t>
      </w:r>
    </w:p>
    <w:p>
      <w:pPr>
        <w:pStyle w:val="Heading1"/>
        <w:spacing w:after="200" w:before="400"/>
      </w:pPr>
      <w:r>
        <w:t xml:space="preserve">3. Démarche et méthodologie proposées</w:t>
      </w:r>
    </w:p>
    <w:p>
      <w:pPr>
        <w:pStyle w:val="Heading2"/>
        <w:spacing w:after="150" w:before="300"/>
      </w:pPr>
      <w:r>
        <w:t xml:space="preserve">3.1 Principes directeurs</w:t>
      </w:r>
    </w:p>
    <w:p>
      <w:pPr>
        <w:pStyle w:val="ListParagraph"/>
        <w:numPr>
          <w:ilvl w:val="0"/>
          <w:numId w:val="1"/>
        </w:numPr>
        <w:spacing w:after="80" w:line="280"/>
      </w:pPr>
      <w:r>
        <w:t xml:space="preserve">MVP d'abord : livrer rapidement un périmètre resserré mais complet de bout en bout, pour valider le modèle avec de vrais vendeurs et clients avant d'investir dans les fonctionnalités avancées.</w:t>
      </w:r>
    </w:p>
    <w:p>
      <w:pPr>
        <w:pStyle w:val="ListParagraph"/>
        <w:numPr>
          <w:ilvl w:val="0"/>
          <w:numId w:val="1"/>
        </w:numPr>
        <w:spacing w:after="80" w:line="280"/>
      </w:pPr>
      <w:r>
        <w:t xml:space="preserve">Itératif : développement découpé en cycles courts, avec des démonstrations régulières plutôt qu'une livraison unique en fin de projet.</w:t>
      </w:r>
    </w:p>
    <w:p>
      <w:pPr>
        <w:pStyle w:val="ListParagraph"/>
        <w:numPr>
          <w:ilvl w:val="0"/>
          <w:numId w:val="1"/>
        </w:numPr>
        <w:spacing w:after="80" w:line="280"/>
      </w:pPr>
      <w:r>
        <w:t xml:space="preserve">Co-construction : les décisions structurantes (gestion de l'argent, statut des livreurs, choix de l'agrégateur de paiement) sont validées conjointement avec la porteuse du projet avant d'être codées.</w:t>
      </w:r>
    </w:p>
    <w:p>
      <w:pPr>
        <w:pStyle w:val="ListParagraph"/>
        <w:numPr>
          <w:ilvl w:val="0"/>
          <w:numId w:val="1"/>
        </w:numPr>
        <w:spacing w:after="80" w:line="280"/>
      </w:pPr>
      <w:r>
        <w:t xml:space="preserve">Confrontation au réel tôt : test du parcours vendeur avec une ou deux vendeuses réelles dès que possible, pour vérifier la simplicité d'usage avant la généralisation.</w:t>
      </w:r>
    </w:p>
    <w:p>
      <w:pPr>
        <w:pStyle w:val="Heading2"/>
        <w:spacing w:after="150" w:before="300"/>
      </w:pPr>
      <w:r>
        <w:t xml:space="preserve">3.2 Étapes de la mission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F3A5F" w:val="clear"/>
            <w:tcMar>
              <w:top w:type="dxa" w:w="80"/>
              <w:left w:type="dxa" w:w="100"/>
              <w:bottom w:type="dxa" w:w="80"/>
              <w:right w:type="dxa" w:w="100"/>
            </w:tcMar>
            <w:vAlign w:val="center"/>
          </w:tcPr>
          <w:p>
            <w:r>
              <w:rPr>
                <w:b/>
                <w:bCs/>
                <w:color w:val="FFFFFF"/>
                <w:sz w:val="20"/>
                <w:szCs w:val="20"/>
              </w:rPr>
              <w:t xml:space="preserve">Étape</w:t>
            </w:r>
          </w:p>
        </w:tc>
        <w:tc>
          <w:tcPr>
            <w:tcW w:type="dxa" w:w="6900"/>
            <w:shd w:fill="1F3A5F" w:val="clear"/>
            <w:tcMar>
              <w:top w:type="dxa" w:w="80"/>
              <w:left w:type="dxa" w:w="100"/>
              <w:bottom w:type="dxa" w:w="80"/>
              <w:right w:type="dxa" w:w="100"/>
            </w:tcMar>
            <w:vAlign w:val="center"/>
          </w:tcPr>
          <w:p>
            <w:r>
              <w:rPr>
                <w:b/>
                <w:bCs/>
                <w:color w:val="FFFFFF"/>
                <w:sz w:val="20"/>
                <w:szCs w:val="20"/>
              </w:rPr>
              <w:t xml:space="preserve">Contenu</w:t>
            </w:r>
          </w:p>
        </w:tc>
      </w:tr>
      <w:tr>
        <w:tc>
          <w:tcPr>
            <w:tcW w:type="dxa" w:w="2200"/>
            <w:tcMar>
              <w:top w:type="dxa" w:w="80"/>
              <w:left w:type="dxa" w:w="100"/>
              <w:bottom w:type="dxa" w:w="80"/>
              <w:right w:type="dxa" w:w="100"/>
            </w:tcMar>
            <w:vAlign w:val="center"/>
          </w:tcPr>
          <w:p>
            <w:r>
              <w:rPr>
                <w:b w:val="false"/>
                <w:bCs w:val="false"/>
                <w:sz w:val="20"/>
                <w:szCs w:val="20"/>
              </w:rPr>
              <w:t xml:space="preserve">1. Cadrage détaillé</w:t>
            </w:r>
          </w:p>
        </w:tc>
        <w:tc>
          <w:tcPr>
            <w:tcW w:type="dxa" w:w="6900"/>
            <w:tcMar>
              <w:top w:type="dxa" w:w="80"/>
              <w:left w:type="dxa" w:w="100"/>
              <w:bottom w:type="dxa" w:w="80"/>
              <w:right w:type="dxa" w:w="100"/>
            </w:tcMar>
            <w:vAlign w:val="center"/>
          </w:tcPr>
          <w:p>
            <w:r>
              <w:rPr>
                <w:b w:val="false"/>
                <w:bCs w:val="false"/>
                <w:sz w:val="20"/>
                <w:szCs w:val="20"/>
              </w:rPr>
              <w:t xml:space="preserve">Ateliers de validation des choix en suspens (paiement, livraison, répartition des flux financiers), spécifications fonctionnelles fines, maquettes des écrans clés</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2. Conception technique</w:t>
            </w:r>
          </w:p>
        </w:tc>
        <w:tc>
          <w:tcPr>
            <w:tcW w:type="dxa" w:w="6900"/>
            <w:shd w:fill="F2F2F2" w:val="clear"/>
            <w:tcMar>
              <w:top w:type="dxa" w:w="80"/>
              <w:left w:type="dxa" w:w="100"/>
              <w:bottom w:type="dxa" w:w="80"/>
              <w:right w:type="dxa" w:w="100"/>
            </w:tcMar>
            <w:vAlign w:val="center"/>
          </w:tcPr>
          <w:p>
            <w:r>
              <w:rPr>
                <w:b w:val="false"/>
                <w:bCs w:val="false"/>
                <w:sz w:val="20"/>
                <w:szCs w:val="20"/>
              </w:rPr>
              <w:t xml:space="preserve">Modélisation définitive de la base de données, choix et configuration des intégrations (paiement, notifications), architecture des accès et des rôles</w:t>
            </w:r>
          </w:p>
        </w:tc>
      </w:tr>
      <w:tr>
        <w:tc>
          <w:tcPr>
            <w:tcW w:type="dxa" w:w="2200"/>
            <w:tcMar>
              <w:top w:type="dxa" w:w="80"/>
              <w:left w:type="dxa" w:w="100"/>
              <w:bottom w:type="dxa" w:w="80"/>
              <w:right w:type="dxa" w:w="100"/>
            </w:tcMar>
            <w:vAlign w:val="center"/>
          </w:tcPr>
          <w:p>
            <w:r>
              <w:rPr>
                <w:b w:val="false"/>
                <w:bCs w:val="false"/>
                <w:sz w:val="20"/>
                <w:szCs w:val="20"/>
              </w:rPr>
              <w:t xml:space="preserve">3. Développement itératif</w:t>
            </w:r>
          </w:p>
        </w:tc>
        <w:tc>
          <w:tcPr>
            <w:tcW w:type="dxa" w:w="6900"/>
            <w:tcMar>
              <w:top w:type="dxa" w:w="80"/>
              <w:left w:type="dxa" w:w="100"/>
              <w:bottom w:type="dxa" w:w="80"/>
              <w:right w:type="dxa" w:w="100"/>
            </w:tcMar>
            <w:vAlign w:val="center"/>
          </w:tcPr>
          <w:p>
            <w:r>
              <w:rPr>
                <w:b w:val="false"/>
                <w:bCs w:val="false"/>
                <w:sz w:val="20"/>
                <w:szCs w:val="20"/>
              </w:rPr>
              <w:t xml:space="preserve">Développement par cycles courts, avec démonstration à chaque fin de cycle et ajustements possibles</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4. Tests et recette</w:t>
            </w:r>
          </w:p>
        </w:tc>
        <w:tc>
          <w:tcPr>
            <w:tcW w:type="dxa" w:w="6900"/>
            <w:shd w:fill="F2F2F2" w:val="clear"/>
            <w:tcMar>
              <w:top w:type="dxa" w:w="80"/>
              <w:left w:type="dxa" w:w="100"/>
              <w:bottom w:type="dxa" w:w="80"/>
              <w:right w:type="dxa" w:w="100"/>
            </w:tcMar>
            <w:vAlign w:val="center"/>
          </w:tcPr>
          <w:p>
            <w:r>
              <w:rPr>
                <w:b w:val="false"/>
                <w:bCs w:val="false"/>
                <w:sz w:val="20"/>
                <w:szCs w:val="20"/>
              </w:rPr>
              <w:t xml:space="preserve">Tests fonctionnels sur chaque parcours, tests de bout en bout avec la porteuse du projet sur la base des critères de validation du cahier des charges</w:t>
            </w:r>
          </w:p>
        </w:tc>
      </w:tr>
      <w:tr>
        <w:tc>
          <w:tcPr>
            <w:tcW w:type="dxa" w:w="2200"/>
            <w:tcMar>
              <w:top w:type="dxa" w:w="80"/>
              <w:left w:type="dxa" w:w="100"/>
              <w:bottom w:type="dxa" w:w="80"/>
              <w:right w:type="dxa" w:w="100"/>
            </w:tcMar>
            <w:vAlign w:val="center"/>
          </w:tcPr>
          <w:p>
            <w:r>
              <w:rPr>
                <w:b w:val="false"/>
                <w:bCs w:val="false"/>
                <w:sz w:val="20"/>
                <w:szCs w:val="20"/>
              </w:rPr>
              <w:t xml:space="preserve">5. Déploiement</w:t>
            </w:r>
          </w:p>
        </w:tc>
        <w:tc>
          <w:tcPr>
            <w:tcW w:type="dxa" w:w="6900"/>
            <w:tcMar>
              <w:top w:type="dxa" w:w="80"/>
              <w:left w:type="dxa" w:w="100"/>
              <w:bottom w:type="dxa" w:w="80"/>
              <w:right w:type="dxa" w:w="100"/>
            </w:tcMar>
            <w:vAlign w:val="center"/>
          </w:tcPr>
          <w:p>
            <w:r>
              <w:rPr>
                <w:b w:val="false"/>
                <w:bCs w:val="false"/>
                <w:sz w:val="20"/>
                <w:szCs w:val="20"/>
              </w:rPr>
              <w:t xml:space="preserve">Mise en production, vérification des sauvegardes et de la sécurité des accès</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6. Formation et accompagnement</w:t>
            </w:r>
          </w:p>
        </w:tc>
        <w:tc>
          <w:tcPr>
            <w:tcW w:type="dxa" w:w="6900"/>
            <w:shd w:fill="F2F2F2" w:val="clear"/>
            <w:tcMar>
              <w:top w:type="dxa" w:w="80"/>
              <w:left w:type="dxa" w:w="100"/>
              <w:bottom w:type="dxa" w:w="80"/>
              <w:right w:type="dxa" w:w="100"/>
            </w:tcMar>
            <w:vAlign w:val="center"/>
          </w:tcPr>
          <w:p>
            <w:r>
              <w:rPr>
                <w:b w:val="false"/>
                <w:bCs w:val="false"/>
                <w:sz w:val="20"/>
                <w:szCs w:val="20"/>
              </w:rPr>
              <w:t xml:space="preserve">Prise en main du back-office par la porteuse du projet, documentation d'utilisation, accompagnement des premiers vendeurs</w:t>
            </w:r>
          </w:p>
        </w:tc>
      </w:tr>
    </w:tbl>
    <w:p>
      <w:pPr>
        <w:pStyle w:val="Heading2"/>
        <w:spacing w:after="150" w:before="300"/>
      </w:pPr>
      <w:r>
        <w:t xml:space="preserve">3.3 Suivi de projet</w:t>
      </w:r>
    </w:p>
    <w:p>
      <w:pPr>
        <w:pStyle w:val="ListParagraph"/>
        <w:numPr>
          <w:ilvl w:val="0"/>
          <w:numId w:val="1"/>
        </w:numPr>
        <w:spacing w:after="80" w:line="280"/>
      </w:pPr>
      <w:r>
        <w:t xml:space="preserve">Points d'avancement réguliers avec la porteuse du projet (hebdomadaires en phase de développement)</w:t>
      </w:r>
    </w:p>
    <w:p>
      <w:pPr>
        <w:pStyle w:val="ListParagraph"/>
        <w:numPr>
          <w:ilvl w:val="0"/>
          <w:numId w:val="1"/>
        </w:numPr>
        <w:spacing w:after="80" w:line="280"/>
      </w:pPr>
      <w:r>
        <w:t xml:space="preserve">Démonstrations fonctionnelles à chaque fin de cycle, avant validation de la suite</w:t>
      </w:r>
    </w:p>
    <w:p>
      <w:pPr>
        <w:pStyle w:val="ListParagraph"/>
        <w:numPr>
          <w:ilvl w:val="0"/>
          <w:numId w:val="1"/>
        </w:numPr>
        <w:spacing w:after="80" w:line="280"/>
      </w:pPr>
      <w:r>
        <w:t xml:space="preserve">Suivi des tâches et des anomalies sur un outil partagé et accessible à la porteuse du projet</w:t>
      </w:r>
    </w:p>
    <w:p>
      <w:pPr>
        <w:pStyle w:val="ListParagraph"/>
        <w:numPr>
          <w:ilvl w:val="0"/>
          <w:numId w:val="1"/>
        </w:numPr>
        <w:spacing w:after="80" w:line="280"/>
      </w:pPr>
      <w:r>
        <w:t xml:space="preserve">Code source versionné, avec historique des évolutions, pour assurer la traçabilité et la continuité en cas d'évolution de l'équipe technique</w:t>
      </w:r>
    </w:p>
    <w:p>
      <w:pPr>
        <w:pStyle w:val="Heading1"/>
        <w:spacing w:after="200" w:before="400"/>
      </w:pPr>
      <w:r>
        <w:t xml:space="preserve">4. Solution technique proposée</w:t>
      </w:r>
    </w:p>
    <w:p>
      <w:pPr>
        <w:pStyle w:val="Heading2"/>
        <w:spacing w:after="150" w:before="300"/>
      </w:pPr>
      <w:r>
        <w:t xml:space="preserve">4.1 Principe d'architecture</w:t>
      </w:r>
    </w:p>
    <w:p>
      <w:pPr>
        <w:spacing w:after="160" w:line="300"/>
      </w:pPr>
      <w:r>
        <w:t xml:space="preserve">La solution repose sur une architecture API-first : Laravel ne sert aucune page web, il expose une API REST (JSON) qui porte l'intégralité de la logique métier, des calculs financiers et des règles de sécurité. Les applications Flutter (Client, Vendeur, Livreur) consomment cette API par des requêtes HTTP authentifiées et se limitent à l'affichage et à la saisie : aucune règle métier n'est dupliquée côté mobile. Le back-office de la porteuse du projet reste accessible depuis un navigateur, sans installation.</w:t>
      </w:r>
    </w:p>
    <w:p>
      <w:pPr>
        <w:pStyle w:val="ListParagraph"/>
        <w:numPr>
          <w:ilvl w:val="0"/>
          <w:numId w:val="1"/>
        </w:numPr>
        <w:spacing w:after="80" w:line="280"/>
      </w:pPr>
      <w:r>
        <w:t xml:space="preserve">Backend Laravel → expose les routes API (ex. GET /api/products, POST /api/orders) et gère base de données, calculs, sécurité</w:t>
      </w:r>
    </w:p>
    <w:p>
      <w:pPr>
        <w:pStyle w:val="ListParagraph"/>
        <w:numPr>
          <w:ilvl w:val="0"/>
          <w:numId w:val="1"/>
        </w:numPr>
        <w:spacing w:after="80" w:line="280"/>
      </w:pPr>
      <w:r>
        <w:t xml:space="preserve">Applications Flutter → consomment l'API en HTTP/JSON, gèrent l'affichage, la navigation et les interactions locales</w:t>
      </w:r>
    </w:p>
    <w:p>
      <w:pPr>
        <w:pStyle w:val="ListParagraph"/>
        <w:numPr>
          <w:ilvl w:val="0"/>
          <w:numId w:val="1"/>
        </w:numPr>
        <w:spacing w:after="80" w:line="280"/>
      </w:pPr>
      <w:r>
        <w:t xml:space="preserve">Authentification par jeton (Laravel Sanctum) : l'application Flutter conserve un jeton après connexion et l'envoie à chaque requête</w:t>
      </w:r>
    </w:p>
    <w:p>
      <w:pPr>
        <w:pStyle w:val="Heading2"/>
        <w:spacing w:after="150" w:before="300"/>
      </w:pPr>
      <w:r>
        <w:t xml:space="preserve">4.2 Choix technologiques et justification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700"/>
      </w:tblGrid>
      <w:tr>
        <w:trPr>
          <w:tblHeader/>
        </w:trPr>
        <w:tc>
          <w:tcPr>
            <w:tcW w:type="dxa" w:w="2200"/>
            <w:shd w:fill="1F3A5F" w:val="clear"/>
            <w:tcMar>
              <w:top w:type="dxa" w:w="80"/>
              <w:left w:type="dxa" w:w="100"/>
              <w:bottom w:type="dxa" w:w="80"/>
              <w:right w:type="dxa" w:w="100"/>
            </w:tcMar>
            <w:vAlign w:val="center"/>
          </w:tcPr>
          <w:p>
            <w:r>
              <w:rPr>
                <w:b/>
                <w:bCs/>
                <w:color w:val="FFFFFF"/>
                <w:sz w:val="20"/>
                <w:szCs w:val="20"/>
              </w:rPr>
              <w:t xml:space="preserve">Composant</w:t>
            </w:r>
          </w:p>
        </w:tc>
        <w:tc>
          <w:tcPr>
            <w:tcW w:type="dxa" w:w="3200"/>
            <w:shd w:fill="1F3A5F" w:val="clear"/>
            <w:tcMar>
              <w:top w:type="dxa" w:w="80"/>
              <w:left w:type="dxa" w:w="100"/>
              <w:bottom w:type="dxa" w:w="80"/>
              <w:right w:type="dxa" w:w="100"/>
            </w:tcMar>
            <w:vAlign w:val="center"/>
          </w:tcPr>
          <w:p>
            <w:r>
              <w:rPr>
                <w:b/>
                <w:bCs/>
                <w:color w:val="FFFFFF"/>
                <w:sz w:val="20"/>
                <w:szCs w:val="20"/>
              </w:rPr>
              <w:t xml:space="preserve">Choix proposé</w:t>
            </w:r>
          </w:p>
        </w:tc>
        <w:tc>
          <w:tcPr>
            <w:tcW w:type="dxa" w:w="3700"/>
            <w:shd w:fill="1F3A5F" w:val="clear"/>
            <w:tcMar>
              <w:top w:type="dxa" w:w="80"/>
              <w:left w:type="dxa" w:w="100"/>
              <w:bottom w:type="dxa" w:w="80"/>
              <w:right w:type="dxa" w:w="100"/>
            </w:tcMar>
            <w:vAlign w:val="center"/>
          </w:tcPr>
          <w:p>
            <w:r>
              <w:rPr>
                <w:b/>
                <w:bCs/>
                <w:color w:val="FFFFFF"/>
                <w:sz w:val="20"/>
                <w:szCs w:val="20"/>
              </w:rPr>
              <w:t xml:space="preserve">Justification</w:t>
            </w:r>
          </w:p>
        </w:tc>
      </w:tr>
      <w:tr>
        <w:tc>
          <w:tcPr>
            <w:tcW w:type="dxa" w:w="2200"/>
            <w:tcMar>
              <w:top w:type="dxa" w:w="80"/>
              <w:left w:type="dxa" w:w="100"/>
              <w:bottom w:type="dxa" w:w="80"/>
              <w:right w:type="dxa" w:w="100"/>
            </w:tcMar>
            <w:vAlign w:val="center"/>
          </w:tcPr>
          <w:p>
            <w:r>
              <w:rPr>
                <w:b w:val="false"/>
                <w:bCs w:val="false"/>
                <w:sz w:val="20"/>
                <w:szCs w:val="20"/>
              </w:rPr>
              <w:t xml:space="preserve">Backend / API REST</w:t>
            </w:r>
          </w:p>
        </w:tc>
        <w:tc>
          <w:tcPr>
            <w:tcW w:type="dxa" w:w="3200"/>
            <w:tcMar>
              <w:top w:type="dxa" w:w="80"/>
              <w:left w:type="dxa" w:w="100"/>
              <w:bottom w:type="dxa" w:w="80"/>
              <w:right w:type="dxa" w:w="100"/>
            </w:tcMar>
            <w:vAlign w:val="center"/>
          </w:tcPr>
          <w:p>
            <w:r>
              <w:rPr>
                <w:b w:val="false"/>
                <w:bCs w:val="false"/>
                <w:sz w:val="20"/>
                <w:szCs w:val="20"/>
              </w:rPr>
              <w:t xml:space="preserve">Laravel (Sanctum, Queues, Notifications, Events)</w:t>
            </w:r>
          </w:p>
        </w:tc>
        <w:tc>
          <w:tcPr>
            <w:tcW w:type="dxa" w:w="3700"/>
            <w:tcMar>
              <w:top w:type="dxa" w:w="80"/>
              <w:left w:type="dxa" w:w="100"/>
              <w:bottom w:type="dxa" w:w="80"/>
              <w:right w:type="dxa" w:w="100"/>
            </w:tcMar>
            <w:vAlign w:val="center"/>
          </w:tcPr>
          <w:p>
            <w:r>
              <w:rPr>
                <w:b w:val="false"/>
                <w:bCs w:val="false"/>
                <w:sz w:val="20"/>
                <w:szCs w:val="20"/>
              </w:rPr>
              <w:t xml:space="preserve">Écosystème mature, adapté à une gestion fine des rôles et permissions, large communauté et documentation</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Base de données</w:t>
            </w:r>
          </w:p>
        </w:tc>
        <w:tc>
          <w:tcPr>
            <w:tcW w:type="dxa" w:w="3200"/>
            <w:shd w:fill="F2F2F2" w:val="clear"/>
            <w:tcMar>
              <w:top w:type="dxa" w:w="80"/>
              <w:left w:type="dxa" w:w="100"/>
              <w:bottom w:type="dxa" w:w="80"/>
              <w:right w:type="dxa" w:w="100"/>
            </w:tcMar>
            <w:vAlign w:val="center"/>
          </w:tcPr>
          <w:p>
            <w:r>
              <w:rPr>
                <w:b w:val="false"/>
                <w:bCs w:val="false"/>
                <w:sz w:val="20"/>
                <w:szCs w:val="20"/>
              </w:rPr>
              <w:t xml:space="preserve">MySQL ou PostgreSQL</w:t>
            </w:r>
          </w:p>
        </w:tc>
        <w:tc>
          <w:tcPr>
            <w:tcW w:type="dxa" w:w="3700"/>
            <w:shd w:fill="F2F2F2" w:val="clear"/>
            <w:tcMar>
              <w:top w:type="dxa" w:w="80"/>
              <w:left w:type="dxa" w:w="100"/>
              <w:bottom w:type="dxa" w:w="80"/>
              <w:right w:type="dxa" w:w="100"/>
            </w:tcMar>
            <w:vAlign w:val="center"/>
          </w:tcPr>
          <w:p>
            <w:r>
              <w:rPr>
                <w:b w:val="false"/>
                <w:bCs w:val="false"/>
                <w:sz w:val="20"/>
                <w:szCs w:val="20"/>
              </w:rPr>
              <w:t xml:space="preserve">Fiabilité éprouvée pour une application transactionnelle avec des exigences de traçabilité financière</w:t>
            </w:r>
          </w:p>
        </w:tc>
      </w:tr>
      <w:tr>
        <w:tc>
          <w:tcPr>
            <w:tcW w:type="dxa" w:w="2200"/>
            <w:tcMar>
              <w:top w:type="dxa" w:w="80"/>
              <w:left w:type="dxa" w:w="100"/>
              <w:bottom w:type="dxa" w:w="80"/>
              <w:right w:type="dxa" w:w="100"/>
            </w:tcMar>
            <w:vAlign w:val="center"/>
          </w:tcPr>
          <w:p>
            <w:r>
              <w:rPr>
                <w:b w:val="false"/>
                <w:bCs w:val="false"/>
                <w:sz w:val="20"/>
                <w:szCs w:val="20"/>
              </w:rPr>
              <w:t xml:space="preserve">Application Client</w:t>
            </w:r>
          </w:p>
        </w:tc>
        <w:tc>
          <w:tcPr>
            <w:tcW w:type="dxa" w:w="3200"/>
            <w:tcMar>
              <w:top w:type="dxa" w:w="80"/>
              <w:left w:type="dxa" w:w="100"/>
              <w:bottom w:type="dxa" w:w="80"/>
              <w:right w:type="dxa" w:w="100"/>
            </w:tcMar>
            <w:vAlign w:val="center"/>
          </w:tcPr>
          <w:p>
            <w:r>
              <w:rPr>
                <w:b w:val="false"/>
                <w:bCs w:val="false"/>
                <w:sz w:val="20"/>
                <w:szCs w:val="20"/>
              </w:rPr>
              <w:t xml:space="preserve">Flutter (iOS + Android, un seul code source)</w:t>
            </w:r>
          </w:p>
        </w:tc>
        <w:tc>
          <w:tcPr>
            <w:tcW w:type="dxa" w:w="3700"/>
            <w:tcMar>
              <w:top w:type="dxa" w:w="80"/>
              <w:left w:type="dxa" w:w="100"/>
              <w:bottom w:type="dxa" w:w="80"/>
              <w:right w:type="dxa" w:w="100"/>
            </w:tcMar>
            <w:vAlign w:val="center"/>
          </w:tcPr>
          <w:p>
            <w:r>
              <w:rPr>
                <w:b w:val="false"/>
                <w:bCs w:val="false"/>
                <w:sz w:val="20"/>
                <w:szCs w:val="20"/>
              </w:rPr>
              <w:t xml:space="preserve">Recherche, commande, paiement, suivi — usage principalement mobile au Bénin</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Application Vendeur</w:t>
            </w:r>
          </w:p>
        </w:tc>
        <w:tc>
          <w:tcPr>
            <w:tcW w:type="dxa" w:w="3200"/>
            <w:shd w:fill="F2F2F2" w:val="clear"/>
            <w:tcMar>
              <w:top w:type="dxa" w:w="80"/>
              <w:left w:type="dxa" w:w="100"/>
              <w:bottom w:type="dxa" w:w="80"/>
              <w:right w:type="dxa" w:w="100"/>
            </w:tcMar>
            <w:vAlign w:val="center"/>
          </w:tcPr>
          <w:p>
            <w:r>
              <w:rPr>
                <w:b w:val="false"/>
                <w:bCs w:val="false"/>
                <w:sz w:val="20"/>
                <w:szCs w:val="20"/>
              </w:rPr>
              <w:t xml:space="preserve">Flutter (iOS + Android)</w:t>
            </w:r>
          </w:p>
        </w:tc>
        <w:tc>
          <w:tcPr>
            <w:tcW w:type="dxa" w:w="3700"/>
            <w:shd w:fill="F2F2F2" w:val="clear"/>
            <w:tcMar>
              <w:top w:type="dxa" w:w="80"/>
              <w:left w:type="dxa" w:w="100"/>
              <w:bottom w:type="dxa" w:w="80"/>
              <w:right w:type="dxa" w:w="100"/>
            </w:tcMar>
            <w:vAlign w:val="center"/>
          </w:tcPr>
          <w:p>
            <w:r>
              <w:rPr>
                <w:b w:val="false"/>
                <w:bCs w:val="false"/>
                <w:sz w:val="20"/>
                <w:szCs w:val="20"/>
              </w:rPr>
              <w:t xml:space="preserve">Gestion de la boutique et des plats, réception des commandes en mobilité</w:t>
            </w:r>
          </w:p>
        </w:tc>
      </w:tr>
      <w:tr>
        <w:tc>
          <w:tcPr>
            <w:tcW w:type="dxa" w:w="2200"/>
            <w:tcMar>
              <w:top w:type="dxa" w:w="80"/>
              <w:left w:type="dxa" w:w="100"/>
              <w:bottom w:type="dxa" w:w="80"/>
              <w:right w:type="dxa" w:w="100"/>
            </w:tcMar>
            <w:vAlign w:val="center"/>
          </w:tcPr>
          <w:p>
            <w:r>
              <w:rPr>
                <w:b w:val="false"/>
                <w:bCs w:val="false"/>
                <w:sz w:val="20"/>
                <w:szCs w:val="20"/>
              </w:rPr>
              <w:t xml:space="preserve">Application Livreur</w:t>
            </w:r>
          </w:p>
        </w:tc>
        <w:tc>
          <w:tcPr>
            <w:tcW w:type="dxa" w:w="3200"/>
            <w:tcMar>
              <w:top w:type="dxa" w:w="80"/>
              <w:left w:type="dxa" w:w="100"/>
              <w:bottom w:type="dxa" w:w="80"/>
              <w:right w:type="dxa" w:w="100"/>
            </w:tcMar>
            <w:vAlign w:val="center"/>
          </w:tcPr>
          <w:p>
            <w:r>
              <w:rPr>
                <w:b w:val="false"/>
                <w:bCs w:val="false"/>
                <w:sz w:val="20"/>
                <w:szCs w:val="20"/>
              </w:rPr>
              <w:t xml:space="preserve">Flutter (iOS + Android)</w:t>
            </w:r>
          </w:p>
        </w:tc>
        <w:tc>
          <w:tcPr>
            <w:tcW w:type="dxa" w:w="3700"/>
            <w:tcMar>
              <w:top w:type="dxa" w:w="80"/>
              <w:left w:type="dxa" w:w="100"/>
              <w:bottom w:type="dxa" w:w="80"/>
              <w:right w:type="dxa" w:w="100"/>
            </w:tcMar>
            <w:vAlign w:val="center"/>
          </w:tcPr>
          <w:p>
            <w:r>
              <w:rPr>
                <w:b w:val="false"/>
                <w:bCs w:val="false"/>
                <w:sz w:val="20"/>
                <w:szCs w:val="20"/>
              </w:rPr>
              <w:t xml:space="preserve">Réception et suivi des courses, adapté à un usage terrain</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Back-office administrateur métier</w:t>
            </w:r>
          </w:p>
        </w:tc>
        <w:tc>
          <w:tcPr>
            <w:tcW w:type="dxa" w:w="3200"/>
            <w:shd w:fill="F2F2F2" w:val="clear"/>
            <w:tcMar>
              <w:top w:type="dxa" w:w="80"/>
              <w:left w:type="dxa" w:w="100"/>
              <w:bottom w:type="dxa" w:w="80"/>
              <w:right w:type="dxa" w:w="100"/>
            </w:tcMar>
            <w:vAlign w:val="center"/>
          </w:tcPr>
          <w:p>
            <w:r>
              <w:rPr>
                <w:b w:val="false"/>
                <w:bCs w:val="false"/>
                <w:sz w:val="20"/>
                <w:szCs w:val="20"/>
              </w:rPr>
              <w:t xml:space="preserve">Web léger (Vue.js, ou Filament sur Laravel)</w:t>
            </w:r>
          </w:p>
        </w:tc>
        <w:tc>
          <w:tcPr>
            <w:tcW w:type="dxa" w:w="3700"/>
            <w:shd w:fill="F2F2F2" w:val="clear"/>
            <w:tcMar>
              <w:top w:type="dxa" w:w="80"/>
              <w:left w:type="dxa" w:w="100"/>
              <w:bottom w:type="dxa" w:w="80"/>
              <w:right w:type="dxa" w:w="100"/>
            </w:tcMar>
            <w:vAlign w:val="center"/>
          </w:tcPr>
          <w:p>
            <w:r>
              <w:rPr>
                <w:b w:val="false"/>
                <w:bCs w:val="false"/>
                <w:sz w:val="20"/>
                <w:szCs w:val="20"/>
              </w:rPr>
              <w:t xml:space="preserve">Un tableau de bord dense en données (commandes, commissions, statistiques) reste plus confortable en navigateur que dans une application installée</w:t>
            </w:r>
          </w:p>
        </w:tc>
      </w:tr>
      <w:tr>
        <w:tc>
          <w:tcPr>
            <w:tcW w:type="dxa" w:w="2200"/>
            <w:tcMar>
              <w:top w:type="dxa" w:w="80"/>
              <w:left w:type="dxa" w:w="100"/>
              <w:bottom w:type="dxa" w:w="80"/>
              <w:right w:type="dxa" w:w="100"/>
            </w:tcMar>
            <w:vAlign w:val="center"/>
          </w:tcPr>
          <w:p>
            <w:r>
              <w:rPr>
                <w:b w:val="false"/>
                <w:bCs w:val="false"/>
                <w:sz w:val="20"/>
                <w:szCs w:val="20"/>
              </w:rPr>
              <w:t xml:space="preserve">Paiement</w:t>
            </w:r>
          </w:p>
        </w:tc>
        <w:tc>
          <w:tcPr>
            <w:tcW w:type="dxa" w:w="3200"/>
            <w:tcMar>
              <w:top w:type="dxa" w:w="80"/>
              <w:left w:type="dxa" w:w="100"/>
              <w:bottom w:type="dxa" w:w="80"/>
              <w:right w:type="dxa" w:w="100"/>
            </w:tcMar>
            <w:vAlign w:val="center"/>
          </w:tcPr>
          <w:p>
            <w:r>
              <w:rPr>
                <w:b w:val="false"/>
                <w:bCs w:val="false"/>
                <w:sz w:val="20"/>
                <w:szCs w:val="20"/>
              </w:rPr>
              <w:t xml:space="preserve">Intégration d'un agrégateur mobile money (à sélectionner)</w:t>
            </w:r>
          </w:p>
        </w:tc>
        <w:tc>
          <w:tcPr>
            <w:tcW w:type="dxa" w:w="3700"/>
            <w:tcMar>
              <w:top w:type="dxa" w:w="80"/>
              <w:left w:type="dxa" w:w="100"/>
              <w:bottom w:type="dxa" w:w="80"/>
              <w:right w:type="dxa" w:w="100"/>
            </w:tcMar>
            <w:vAlign w:val="center"/>
          </w:tcPr>
          <w:p>
            <w:r>
              <w:rPr>
                <w:b w:val="false"/>
                <w:bCs w:val="false"/>
                <w:sz w:val="20"/>
                <w:szCs w:val="20"/>
              </w:rPr>
              <w:t xml:space="preserve">Le mobile money est le moyen de paiement de référence au Bénin pour ce type d'usage ; l'initiation et la confirmation du paiement restent traitées côté Laravel, jamais directement depuis l'app</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Notifications</w:t>
            </w:r>
          </w:p>
        </w:tc>
        <w:tc>
          <w:tcPr>
            <w:tcW w:type="dxa" w:w="3200"/>
            <w:shd w:fill="F2F2F2" w:val="clear"/>
            <w:tcMar>
              <w:top w:type="dxa" w:w="80"/>
              <w:left w:type="dxa" w:w="100"/>
              <w:bottom w:type="dxa" w:w="80"/>
              <w:right w:type="dxa" w:w="100"/>
            </w:tcMar>
            <w:vAlign w:val="center"/>
          </w:tcPr>
          <w:p>
            <w:r>
              <w:rPr>
                <w:b w:val="false"/>
                <w:bCs w:val="false"/>
                <w:sz w:val="20"/>
                <w:szCs w:val="20"/>
              </w:rPr>
              <w:t xml:space="preserve">Notifications push (Firebase Cloud Messaging) et/ou SMS selon les cas d'usage</w:t>
            </w:r>
          </w:p>
        </w:tc>
        <w:tc>
          <w:tcPr>
            <w:tcW w:type="dxa" w:w="3700"/>
            <w:shd w:fill="F2F2F2" w:val="clear"/>
            <w:tcMar>
              <w:top w:type="dxa" w:w="80"/>
              <w:left w:type="dxa" w:w="100"/>
              <w:bottom w:type="dxa" w:w="80"/>
              <w:right w:type="dxa" w:w="100"/>
            </w:tcMar>
            <w:vAlign w:val="center"/>
          </w:tcPr>
          <w:p>
            <w:r>
              <w:rPr>
                <w:b w:val="false"/>
                <w:bCs w:val="false"/>
                <w:sz w:val="20"/>
                <w:szCs w:val="20"/>
              </w:rPr>
              <w:t xml:space="preserve">Nécessaires pour la réception de commande côté vendeur et le suivi côté client, en dehors de l'application ouverte</w:t>
            </w:r>
          </w:p>
        </w:tc>
      </w:tr>
    </w:tbl>
    <w:p>
      <w:pPr>
        <w:pStyle w:val="Heading2"/>
        <w:spacing w:after="150" w:before="300"/>
      </w:pPr>
      <w:r>
        <w:t xml:space="preserve">4.3 Sécurité et séparation des accès</w:t>
      </w:r>
    </w:p>
    <w:p>
      <w:pPr>
        <w:pStyle w:val="ListParagraph"/>
        <w:numPr>
          <w:ilvl w:val="0"/>
          <w:numId w:val="1"/>
        </w:numPr>
        <w:spacing w:after="80" w:line="280"/>
      </w:pPr>
      <w:r>
        <w:t xml:space="preserve">Authentification par jeton distincte pour chaque profil (super admin technique, admin métier, vendeur, client, livreur)</w:t>
      </w:r>
    </w:p>
    <w:p>
      <w:pPr>
        <w:pStyle w:val="ListParagraph"/>
        <w:numPr>
          <w:ilvl w:val="0"/>
          <w:numId w:val="1"/>
        </w:numPr>
        <w:spacing w:after="80" w:line="280"/>
      </w:pPr>
      <w:r>
        <w:t xml:space="preserve">Le back-office métier ne donne à la porteuse du projet aucun accès direct à la base de données : toute action passe par une interface contrôlée</w:t>
      </w:r>
    </w:p>
    <w:p>
      <w:pPr>
        <w:pStyle w:val="ListParagraph"/>
        <w:numPr>
          <w:ilvl w:val="0"/>
          <w:numId w:val="1"/>
        </w:numPr>
        <w:spacing w:after="80" w:line="280"/>
      </w:pPr>
      <w:r>
        <w:t xml:space="preserve">Toutes les règles de calcul (prix, commission, frais de livraison) sont appliquées et vérifiées côté serveur, jamais côté application, pour éviter toute manipulation depuis un appareil client</w:t>
      </w:r>
    </w:p>
    <w:p>
      <w:pPr>
        <w:pStyle w:val="ListParagraph"/>
        <w:numPr>
          <w:ilvl w:val="0"/>
          <w:numId w:val="1"/>
        </w:numPr>
        <w:spacing w:after="80" w:line="280"/>
      </w:pPr>
      <w:r>
        <w:t xml:space="preserve">Journalisation des actions sensibles (validation d'un vendeur, modification d'une commission, remboursement)</w:t>
      </w:r>
    </w:p>
    <w:p>
      <w:pPr>
        <w:pStyle w:val="ListParagraph"/>
        <w:numPr>
          <w:ilvl w:val="0"/>
          <w:numId w:val="1"/>
        </w:numPr>
        <w:spacing w:after="80" w:line="280"/>
      </w:pPr>
      <w:r>
        <w:t xml:space="preserve">Sauvegardes régulières et automatisées de la base de données</w:t>
      </w:r>
    </w:p>
    <w:p>
      <w:pPr>
        <w:pStyle w:val="Heading2"/>
        <w:spacing w:after="150" w:before="300"/>
      </w:pPr>
      <w:r>
        <w:t xml:space="preserve">4.4 Modèle de données</w:t>
      </w:r>
    </w:p>
    <w:p>
      <w:pPr>
        <w:spacing w:after="160" w:line="300"/>
      </w:pPr>
      <w:r>
        <w:t xml:space="preserve">Le modèle de données détaillé (entités, clés étrangères, cardinalités) a été posé dans le cahier des charges et son annexe technique (schéma relationnel). Il sera finalisé lors de la phase de conception technique, notamment sur les tables de portefeuille et de transactions, qui conditionnent la fiabilité financière de la plateforme.</w:t>
      </w:r>
    </w:p>
    <w:p>
      <w:pPr>
        <w:pStyle w:val="Heading2"/>
        <w:spacing w:after="150" w:before="300"/>
      </w:pPr>
      <w:r>
        <w:t xml:space="preserve">4.5 Intégrations et points d'attention prioritaires pour le MVP</w:t>
      </w:r>
    </w:p>
    <w:p>
      <w:pPr>
        <w:pStyle w:val="ListParagraph"/>
        <w:numPr>
          <w:ilvl w:val="0"/>
          <w:numId w:val="1"/>
        </w:numPr>
        <w:spacing w:after="80" w:line="280"/>
      </w:pPr>
      <w:r>
        <w:t xml:space="preserve">Paiement mobile money (bloquant pour le lancement)</w:t>
      </w:r>
    </w:p>
    <w:p>
      <w:pPr>
        <w:pStyle w:val="ListParagraph"/>
        <w:numPr>
          <w:ilvl w:val="0"/>
          <w:numId w:val="1"/>
        </w:numPr>
        <w:spacing w:after="80" w:line="280"/>
      </w:pPr>
      <w:r>
        <w:t xml:space="preserve">Notifications push en temps réel côté vendeur (nouvelle commande) et côté client (suivi)</w:t>
      </w:r>
    </w:p>
    <w:p>
      <w:pPr>
        <w:pStyle w:val="ListParagraph"/>
        <w:numPr>
          <w:ilvl w:val="0"/>
          <w:numId w:val="1"/>
        </w:numPr>
        <w:spacing w:after="80" w:line="280"/>
      </w:pPr>
      <w:r>
        <w:t xml:space="preserve">Géolocalisation simple (recherche par proximité)</w:t>
      </w:r>
    </w:p>
    <w:p>
      <w:pPr>
        <w:pStyle w:val="ListParagraph"/>
        <w:numPr>
          <w:ilvl w:val="0"/>
          <w:numId w:val="1"/>
        </w:numPr>
        <w:spacing w:after="80" w:line="280"/>
      </w:pPr>
      <w:r>
        <w:t xml:space="preserve">Distribution des applications sur Google Play et l'App Store : création des comptes développeur, délais de validation à anticiper dans le planning</w:t>
      </w:r>
    </w:p>
    <w:p>
      <w:pPr>
        <w:pBdr>
          <w:left w:val="single" w:color="E8792B" w:sz="18" w:space="8"/>
        </w:pBdr>
        <w:shd w:fill="FDF1E7" w:val="clear"/>
        <w:spacing w:after="200" w:before="100"/>
        <w:ind w:left="200"/>
      </w:pPr>
      <w:r>
        <w:rPr>
          <w:b/>
          <w:bCs/>
          <w:color w:val="E8792B"/>
          <w:sz w:val="21"/>
          <w:szCs w:val="21"/>
        </w:rPr>
        <w:t xml:space="preserve">Point de vigilance : </w:t>
      </w:r>
      <w:r>
        <w:rPr>
          <w:sz w:val="21"/>
          <w:szCs w:val="21"/>
        </w:rPr>
        <w:t xml:space="preserve">Le choix de l'agrégateur de paiement mobile money doit être arrêté avant le début du développement de ce module : il conditionne les délais d'intégration et certains choix d'architecture (webhooks, délais de confirmation).</w:t>
      </w:r>
    </w:p>
    <w:p>
      <w:pPr>
        <w:pBdr>
          <w:left w:val="single" w:color="E8792B" w:sz="18" w:space="8"/>
        </w:pBdr>
        <w:shd w:fill="FDF1E7" w:val="clear"/>
        <w:spacing w:after="200" w:before="100"/>
        <w:ind w:left="200"/>
      </w:pPr>
      <w:r>
        <w:rPr>
          <w:b/>
          <w:bCs/>
          <w:color w:val="E8792B"/>
          <w:sz w:val="21"/>
          <w:szCs w:val="21"/>
        </w:rPr>
        <w:t xml:space="preserve">À anticiper : </w:t>
      </w:r>
      <w:r>
        <w:rPr>
          <w:sz w:val="21"/>
          <w:szCs w:val="21"/>
        </w:rPr>
        <w:t xml:space="preserve">Prévoir les comptes développeur Google Play et App Store dès la phase de cadrage : leur création et la première validation d'application peuvent prendre plusieurs jours et ne doivent pas être découvertes juste avant la mise en production.</w:t>
      </w:r>
    </w:p>
    <w:p>
      <w:pPr>
        <w:pStyle w:val="Heading1"/>
        <w:spacing w:after="200" w:before="400"/>
      </w:pPr>
      <w:r>
        <w:t xml:space="preserve">5. Organisation et gouvernance du projet</w:t>
      </w:r>
    </w:p>
    <w:p>
      <w:pPr>
        <w:pStyle w:val="Heading2"/>
        <w:spacing w:after="150" w:before="300"/>
      </w:pPr>
      <w:r>
        <w:t xml:space="preserve">5.1 Équipe proposée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3A5F" w:val="clear"/>
            <w:tcMar>
              <w:top w:type="dxa" w:w="80"/>
              <w:left w:type="dxa" w:w="100"/>
              <w:bottom w:type="dxa" w:w="80"/>
              <w:right w:type="dxa" w:w="100"/>
            </w:tcMar>
            <w:vAlign w:val="center"/>
          </w:tcPr>
          <w:p>
            <w:r>
              <w:rPr>
                <w:b/>
                <w:bCs/>
                <w:color w:val="FFFFFF"/>
                <w:sz w:val="20"/>
                <w:szCs w:val="20"/>
              </w:rPr>
              <w:t xml:space="preserve">Rôle</w:t>
            </w:r>
          </w:p>
        </w:tc>
        <w:tc>
          <w:tcPr>
            <w:tcW w:type="dxa" w:w="6700"/>
            <w:shd w:fill="1F3A5F" w:val="clear"/>
            <w:tcMar>
              <w:top w:type="dxa" w:w="80"/>
              <w:left w:type="dxa" w:w="100"/>
              <w:bottom w:type="dxa" w:w="80"/>
              <w:right w:type="dxa" w:w="100"/>
            </w:tcMar>
            <w:vAlign w:val="center"/>
          </w:tcPr>
          <w:p>
            <w:r>
              <w:rPr>
                <w:b/>
                <w:bCs/>
                <w:color w:val="FFFFFF"/>
                <w:sz w:val="20"/>
                <w:szCs w:val="20"/>
              </w:rPr>
              <w:t xml:space="preserve">Responsabilité sur le projet</w:t>
            </w:r>
          </w:p>
        </w:tc>
      </w:tr>
      <w:tr>
        <w:tc>
          <w:tcPr>
            <w:tcW w:type="dxa" w:w="2800"/>
            <w:tcMar>
              <w:top w:type="dxa" w:w="80"/>
              <w:left w:type="dxa" w:w="100"/>
              <w:bottom w:type="dxa" w:w="80"/>
              <w:right w:type="dxa" w:w="100"/>
            </w:tcMar>
            <w:vAlign w:val="center"/>
          </w:tcPr>
          <w:p>
            <w:r>
              <w:rPr>
                <w:b w:val="false"/>
                <w:bCs w:val="false"/>
                <w:sz w:val="20"/>
                <w:szCs w:val="20"/>
              </w:rPr>
              <w:t xml:space="preserve">Ingénieur logiciel (référent technique)</w:t>
            </w:r>
          </w:p>
        </w:tc>
        <w:tc>
          <w:tcPr>
            <w:tcW w:type="dxa" w:w="6700"/>
            <w:tcMar>
              <w:top w:type="dxa" w:w="80"/>
              <w:left w:type="dxa" w:w="100"/>
              <w:bottom w:type="dxa" w:w="80"/>
              <w:right w:type="dxa" w:w="100"/>
            </w:tcMar>
            <w:vAlign w:val="center"/>
          </w:tcPr>
          <w:p>
            <w:r>
              <w:rPr>
                <w:b w:val="false"/>
                <w:bCs w:val="false"/>
                <w:sz w:val="20"/>
                <w:szCs w:val="20"/>
              </w:rPr>
              <w:t xml:space="preserve">Pilotage technique du projet, développement back-end et front-end, architecture, choix des intégrations, garant de la qualité et de la sécurité</w:t>
            </w:r>
          </w:p>
        </w:tc>
      </w:tr>
      <w:tr>
        <w:tc>
          <w:tcPr>
            <w:tcW w:type="dxa" w:w="2800"/>
            <w:shd w:fill="F2F2F2" w:val="clear"/>
            <w:tcMar>
              <w:top w:type="dxa" w:w="80"/>
              <w:left w:type="dxa" w:w="100"/>
              <w:bottom w:type="dxa" w:w="80"/>
              <w:right w:type="dxa" w:w="100"/>
            </w:tcMar>
            <w:vAlign w:val="center"/>
          </w:tcPr>
          <w:p>
            <w:r>
              <w:rPr>
                <w:b w:val="false"/>
                <w:bCs w:val="false"/>
                <w:sz w:val="20"/>
                <w:szCs w:val="20"/>
              </w:rPr>
              <w:t xml:space="preserve">Renfort développement (à dimensionner)</w:t>
            </w:r>
          </w:p>
        </w:tc>
        <w:tc>
          <w:tcPr>
            <w:tcW w:type="dxa" w:w="6700"/>
            <w:shd w:fill="F2F2F2" w:val="clear"/>
            <w:tcMar>
              <w:top w:type="dxa" w:w="80"/>
              <w:left w:type="dxa" w:w="100"/>
              <w:bottom w:type="dxa" w:w="80"/>
              <w:right w:type="dxa" w:w="100"/>
            </w:tcMar>
            <w:vAlign w:val="center"/>
          </w:tcPr>
          <w:p>
            <w:r>
              <w:rPr>
                <w:b w:val="false"/>
                <w:bCs w:val="false"/>
                <w:sz w:val="20"/>
                <w:szCs w:val="20"/>
              </w:rPr>
              <w:t xml:space="preserve">Accélération du développement sur les modules à forte charge (paiement, livraison), selon le volume de travail retenu pour le MVP</w:t>
            </w:r>
          </w:p>
        </w:tc>
      </w:tr>
      <w:tr>
        <w:tc>
          <w:tcPr>
            <w:tcW w:type="dxa" w:w="2800"/>
            <w:tcMar>
              <w:top w:type="dxa" w:w="80"/>
              <w:left w:type="dxa" w:w="100"/>
              <w:bottom w:type="dxa" w:w="80"/>
              <w:right w:type="dxa" w:w="100"/>
            </w:tcMar>
            <w:vAlign w:val="center"/>
          </w:tcPr>
          <w:p>
            <w:r>
              <w:rPr>
                <w:b w:val="false"/>
                <w:bCs w:val="false"/>
                <w:sz w:val="20"/>
                <w:szCs w:val="20"/>
              </w:rPr>
              <w:t xml:space="preserve">Conception d'interface (UI/UX)</w:t>
            </w:r>
          </w:p>
        </w:tc>
        <w:tc>
          <w:tcPr>
            <w:tcW w:type="dxa" w:w="6700"/>
            <w:tcMar>
              <w:top w:type="dxa" w:w="80"/>
              <w:left w:type="dxa" w:w="100"/>
              <w:bottom w:type="dxa" w:w="80"/>
              <w:right w:type="dxa" w:w="100"/>
            </w:tcMar>
            <w:vAlign w:val="center"/>
          </w:tcPr>
          <w:p>
            <w:r>
              <w:rPr>
                <w:b w:val="false"/>
                <w:bCs w:val="false"/>
                <w:sz w:val="20"/>
                <w:szCs w:val="20"/>
              </w:rPr>
              <w:t xml:space="preserve">Maquettes des parcours clés (recherche, commande, gestion boutique) avant développement, pour limiter les retours en arrière</w:t>
            </w:r>
          </w:p>
        </w:tc>
      </w:tr>
      <w:tr>
        <w:tc>
          <w:tcPr>
            <w:tcW w:type="dxa" w:w="2800"/>
            <w:shd w:fill="F2F2F2" w:val="clear"/>
            <w:tcMar>
              <w:top w:type="dxa" w:w="80"/>
              <w:left w:type="dxa" w:w="100"/>
              <w:bottom w:type="dxa" w:w="80"/>
              <w:right w:type="dxa" w:w="100"/>
            </w:tcMar>
            <w:vAlign w:val="center"/>
          </w:tcPr>
          <w:p>
            <w:r>
              <w:rPr>
                <w:b w:val="false"/>
                <w:bCs w:val="false"/>
                <w:sz w:val="20"/>
                <w:szCs w:val="20"/>
              </w:rPr>
              <w:t xml:space="preserve">Tests / assurance qualité</w:t>
            </w:r>
          </w:p>
        </w:tc>
        <w:tc>
          <w:tcPr>
            <w:tcW w:type="dxa" w:w="6700"/>
            <w:shd w:fill="F2F2F2" w:val="clear"/>
            <w:tcMar>
              <w:top w:type="dxa" w:w="80"/>
              <w:left w:type="dxa" w:w="100"/>
              <w:bottom w:type="dxa" w:w="80"/>
              <w:right w:type="dxa" w:w="100"/>
            </w:tcMar>
            <w:vAlign w:val="center"/>
          </w:tcPr>
          <w:p>
            <w:r>
              <w:rPr>
                <w:b w:val="false"/>
                <w:bCs w:val="false"/>
                <w:sz w:val="20"/>
                <w:szCs w:val="20"/>
              </w:rPr>
              <w:t xml:space="preserve">Vérification des parcours critiques (commande, paiement, calcul des commissions) avant chaque mise en production</w:t>
            </w:r>
          </w:p>
        </w:tc>
      </w:tr>
    </w:tbl>
    <w:p>
      <w:pPr>
        <w:pStyle w:val="Heading2"/>
        <w:spacing w:after="150" w:before="300"/>
      </w:pPr>
      <w:r>
        <w:t xml:space="preserve">5.2 Rythme de collaboration</w:t>
      </w:r>
    </w:p>
    <w:p>
      <w:pPr>
        <w:pStyle w:val="ListParagraph"/>
        <w:numPr>
          <w:ilvl w:val="0"/>
          <w:numId w:val="1"/>
        </w:numPr>
        <w:spacing w:after="80" w:line="280"/>
      </w:pPr>
      <w:r>
        <w:t xml:space="preserve">Point d'avancement hebdomadaire avec la porteuse du projet pendant toute la phase de développement</w:t>
      </w:r>
    </w:p>
    <w:p>
      <w:pPr>
        <w:pStyle w:val="ListParagraph"/>
        <w:numPr>
          <w:ilvl w:val="0"/>
          <w:numId w:val="1"/>
        </w:numPr>
        <w:spacing w:after="80" w:line="280"/>
      </w:pPr>
      <w:r>
        <w:t xml:space="preserve">Démonstration fonctionnelle à chaque fin de cycle de développement</w:t>
      </w:r>
    </w:p>
    <w:p>
      <w:pPr>
        <w:pStyle w:val="ListParagraph"/>
        <w:numPr>
          <w:ilvl w:val="0"/>
          <w:numId w:val="1"/>
        </w:numPr>
        <w:spacing w:after="80" w:line="280"/>
      </w:pPr>
      <w:r>
        <w:t xml:space="preserve">Validation conjointe des décisions structurantes avant leur mise en œuvre technique</w:t>
      </w:r>
    </w:p>
    <w:p>
      <w:pPr>
        <w:pStyle w:val="Heading2"/>
        <w:spacing w:after="150" w:before="300"/>
      </w:pPr>
      <w:r>
        <w:t xml:space="preserve">5.3 Outils de collaboration</w:t>
      </w:r>
    </w:p>
    <w:p>
      <w:pPr>
        <w:pStyle w:val="ListParagraph"/>
        <w:numPr>
          <w:ilvl w:val="0"/>
          <w:numId w:val="1"/>
        </w:numPr>
        <w:spacing w:after="80" w:line="280"/>
      </w:pPr>
      <w:r>
        <w:t xml:space="preserve">Dépôt de code source versionné, avec historique des évolutions</w:t>
      </w:r>
    </w:p>
    <w:p>
      <w:pPr>
        <w:pStyle w:val="ListParagraph"/>
        <w:numPr>
          <w:ilvl w:val="0"/>
          <w:numId w:val="1"/>
        </w:numPr>
        <w:spacing w:after="80" w:line="280"/>
      </w:pPr>
      <w:r>
        <w:t xml:space="preserve">Outil de suivi des tâches et anomalies, accessible à la porteuse du projet</w:t>
      </w:r>
    </w:p>
    <w:p>
      <w:pPr>
        <w:pStyle w:val="ListParagraph"/>
        <w:numPr>
          <w:ilvl w:val="0"/>
          <w:numId w:val="1"/>
        </w:numPr>
        <w:spacing w:after="80" w:line="280"/>
      </w:pPr>
      <w:r>
        <w:t xml:space="preserve">Canal de communication direct pour les échanges courants (messagerie instantanée)</w:t>
      </w:r>
    </w:p>
    <w:p>
      <w:pPr>
        <w:pStyle w:val="Heading1"/>
        <w:spacing w:after="200" w:before="400"/>
      </w:pPr>
      <w:r>
        <w:t xml:space="preserve">6. Planning prévisionnel</w:t>
      </w:r>
    </w:p>
    <w:p>
      <w:pPr>
        <w:spacing w:after="160" w:line="300"/>
      </w:pPr>
      <w:r>
        <w:t xml:space="preserve">Le planning ci-dessous couvre le périmètre du MVP tel que défini dans le cahier des charges (module client, module vendeur, back-office administrateur métier), suivi du lancement de la Version 2. Il s'agit d'une estimation de cadrage, affinée lors de l'étape de cadrage détaillé une fois les choix en suspens tranchés (agrégateur de paiement, statut des livreurs).</w:t>
      </w:r>
    </w:p>
    <w:p>
      <w:pPr>
        <w:spacing w:after="200" w:before="20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362200"/>
                    </a:xfrm>
                    <a:prstGeom prst="rect">
                      <a:avLst/>
                    </a:prstGeom>
                  </pic:spPr>
                </pic:pic>
              </a:graphicData>
            </a:graphic>
          </wp:inline>
        </w:drawing>
      </w:r>
    </w:p>
    <w:p>
      <w:pPr>
        <w:pStyle w:val="Heading2"/>
        <w:spacing w:after="150" w:before="300"/>
      </w:pPr>
      <w:r>
        <w:t xml:space="preserve">6.1 Jalons principaux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A5F" w:val="clear"/>
            <w:tcMar>
              <w:top w:type="dxa" w:w="80"/>
              <w:left w:type="dxa" w:w="100"/>
              <w:bottom w:type="dxa" w:w="80"/>
              <w:right w:type="dxa" w:w="100"/>
            </w:tcMar>
            <w:vAlign w:val="center"/>
          </w:tcPr>
          <w:p>
            <w:r>
              <w:rPr>
                <w:b/>
                <w:bCs/>
                <w:color w:val="FFFFFF"/>
                <w:sz w:val="20"/>
                <w:szCs w:val="20"/>
              </w:rPr>
              <w:t xml:space="preserve">Jalon</w:t>
            </w:r>
          </w:p>
        </w:tc>
        <w:tc>
          <w:tcPr>
            <w:tcW w:type="dxa" w:w="6900"/>
            <w:shd w:fill="1F3A5F" w:val="clear"/>
            <w:tcMar>
              <w:top w:type="dxa" w:w="80"/>
              <w:left w:type="dxa" w:w="100"/>
              <w:bottom w:type="dxa" w:w="80"/>
              <w:right w:type="dxa" w:w="100"/>
            </w:tcMar>
            <w:vAlign w:val="center"/>
          </w:tcPr>
          <w:p>
            <w:r>
              <w:rPr>
                <w:b/>
                <w:bCs/>
                <w:color w:val="FFFFFF"/>
                <w:sz w:val="20"/>
                <w:szCs w:val="20"/>
              </w:rPr>
              <w:t xml:space="preserve">Contenu livré</w:t>
            </w:r>
          </w:p>
        </w:tc>
      </w:tr>
      <w:tr>
        <w:tc>
          <w:tcPr>
            <w:tcW w:type="dxa" w:w="2600"/>
            <w:tcMar>
              <w:top w:type="dxa" w:w="80"/>
              <w:left w:type="dxa" w:w="100"/>
              <w:bottom w:type="dxa" w:w="80"/>
              <w:right w:type="dxa" w:w="100"/>
            </w:tcMar>
            <w:vAlign w:val="center"/>
          </w:tcPr>
          <w:p>
            <w:r>
              <w:rPr>
                <w:b w:val="false"/>
                <w:bCs w:val="false"/>
                <w:sz w:val="20"/>
                <w:szCs w:val="20"/>
              </w:rPr>
              <w:t xml:space="preserve">Fin de cadrage (S3)</w:t>
            </w:r>
          </w:p>
        </w:tc>
        <w:tc>
          <w:tcPr>
            <w:tcW w:type="dxa" w:w="6900"/>
            <w:tcMar>
              <w:top w:type="dxa" w:w="80"/>
              <w:left w:type="dxa" w:w="100"/>
              <w:bottom w:type="dxa" w:w="80"/>
              <w:right w:type="dxa" w:w="100"/>
            </w:tcMar>
            <w:vAlign w:val="center"/>
          </w:tcPr>
          <w:p>
            <w:r>
              <w:rPr>
                <w:b w:val="false"/>
                <w:bCs w:val="false"/>
                <w:sz w:val="20"/>
                <w:szCs w:val="20"/>
              </w:rPr>
              <w:t xml:space="preserve">Maquettes validées, spécifications détaillées, choix de l'agrégateur de paiement arrêté</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Démo à mi-parcours (S8)</w:t>
            </w:r>
          </w:p>
        </w:tc>
        <w:tc>
          <w:tcPr>
            <w:tcW w:type="dxa" w:w="6900"/>
            <w:shd w:fill="F2F2F2" w:val="clear"/>
            <w:tcMar>
              <w:top w:type="dxa" w:w="80"/>
              <w:left w:type="dxa" w:w="100"/>
              <w:bottom w:type="dxa" w:w="80"/>
              <w:right w:type="dxa" w:w="100"/>
            </w:tcMar>
            <w:vAlign w:val="center"/>
          </w:tcPr>
          <w:p>
            <w:r>
              <w:rPr>
                <w:b w:val="false"/>
                <w:bCs w:val="false"/>
                <w:sz w:val="20"/>
                <w:szCs w:val="20"/>
              </w:rPr>
              <w:t xml:space="preserve">Parcours client et vendeur fonctionnels en environnement de test</w:t>
            </w:r>
          </w:p>
        </w:tc>
      </w:tr>
      <w:tr>
        <w:tc>
          <w:tcPr>
            <w:tcW w:type="dxa" w:w="2600"/>
            <w:tcMar>
              <w:top w:type="dxa" w:w="80"/>
              <w:left w:type="dxa" w:w="100"/>
              <w:bottom w:type="dxa" w:w="80"/>
              <w:right w:type="dxa" w:w="100"/>
            </w:tcMar>
            <w:vAlign w:val="center"/>
          </w:tcPr>
          <w:p>
            <w:r>
              <w:rPr>
                <w:b w:val="false"/>
                <w:bCs w:val="false"/>
                <w:sz w:val="20"/>
                <w:szCs w:val="20"/>
              </w:rPr>
              <w:t xml:space="preserve">Fin de développement (S13)</w:t>
            </w:r>
          </w:p>
        </w:tc>
        <w:tc>
          <w:tcPr>
            <w:tcW w:type="dxa" w:w="6900"/>
            <w:tcMar>
              <w:top w:type="dxa" w:w="80"/>
              <w:left w:type="dxa" w:w="100"/>
              <w:bottom w:type="dxa" w:w="80"/>
              <w:right w:type="dxa" w:w="100"/>
            </w:tcMar>
            <w:vAlign w:val="center"/>
          </w:tcPr>
          <w:p>
            <w:r>
              <w:rPr>
                <w:b w:val="false"/>
                <w:bCs w:val="false"/>
                <w:sz w:val="20"/>
                <w:szCs w:val="20"/>
              </w:rPr>
              <w:t xml:space="preserve">Ensemble des fonctionnalités du MVP développées</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Recette (S15)</w:t>
            </w:r>
          </w:p>
        </w:tc>
        <w:tc>
          <w:tcPr>
            <w:tcW w:type="dxa" w:w="6900"/>
            <w:shd w:fill="F2F2F2" w:val="clear"/>
            <w:tcMar>
              <w:top w:type="dxa" w:w="80"/>
              <w:left w:type="dxa" w:w="100"/>
              <w:bottom w:type="dxa" w:w="80"/>
              <w:right w:type="dxa" w:w="100"/>
            </w:tcMar>
            <w:vAlign w:val="center"/>
          </w:tcPr>
          <w:p>
            <w:r>
              <w:rPr>
                <w:b w:val="false"/>
                <w:bCs w:val="false"/>
                <w:sz w:val="20"/>
                <w:szCs w:val="20"/>
              </w:rPr>
              <w:t xml:space="preserve">Validation conjointe des critères de recette du cahier des charges</w:t>
            </w:r>
          </w:p>
        </w:tc>
      </w:tr>
      <w:tr>
        <w:tc>
          <w:tcPr>
            <w:tcW w:type="dxa" w:w="2600"/>
            <w:tcMar>
              <w:top w:type="dxa" w:w="80"/>
              <w:left w:type="dxa" w:w="100"/>
              <w:bottom w:type="dxa" w:w="80"/>
              <w:right w:type="dxa" w:w="100"/>
            </w:tcMar>
            <w:vAlign w:val="center"/>
          </w:tcPr>
          <w:p>
            <w:r>
              <w:rPr>
                <w:b w:val="false"/>
                <w:bCs w:val="false"/>
                <w:sz w:val="20"/>
                <w:szCs w:val="20"/>
              </w:rPr>
              <w:t xml:space="preserve">Mise en production (S16)</w:t>
            </w:r>
          </w:p>
        </w:tc>
        <w:tc>
          <w:tcPr>
            <w:tcW w:type="dxa" w:w="6900"/>
            <w:tcMar>
              <w:top w:type="dxa" w:w="80"/>
              <w:left w:type="dxa" w:w="100"/>
              <w:bottom w:type="dxa" w:w="80"/>
              <w:right w:type="dxa" w:w="100"/>
            </w:tcMar>
            <w:vAlign w:val="center"/>
          </w:tcPr>
          <w:p>
            <w:r>
              <w:rPr>
                <w:b w:val="false"/>
                <w:bCs w:val="false"/>
                <w:sz w:val="20"/>
                <w:szCs w:val="20"/>
              </w:rPr>
              <w:t xml:space="preserve">Plateforme accessible, formation de la porteuse du projet réalisée</w:t>
            </w:r>
          </w:p>
        </w:tc>
      </w:tr>
    </w:tbl>
    <w:p>
      <w:pPr>
        <w:pStyle w:val="Heading1"/>
        <w:spacing w:after="200" w:before="400"/>
      </w:pPr>
      <w:r>
        <w:t xml:space="preserve">7. Livrables</w:t>
      </w:r>
    </w:p>
    <w:p>
      <w:pPr>
        <w:pStyle w:val="ListParagraph"/>
        <w:numPr>
          <w:ilvl w:val="0"/>
          <w:numId w:val="1"/>
        </w:numPr>
        <w:spacing w:after="80" w:line="280"/>
      </w:pPr>
      <w:r>
        <w:t xml:space="preserve">Spécifications fonctionnelles détaillées et maquettes validées</w:t>
      </w:r>
    </w:p>
    <w:p>
      <w:pPr>
        <w:pStyle w:val="ListParagraph"/>
        <w:numPr>
          <w:ilvl w:val="0"/>
          <w:numId w:val="1"/>
        </w:numPr>
        <w:spacing w:after="80" w:line="280"/>
      </w:pPr>
      <w:r>
        <w:t xml:space="preserve">API Laravel fonctionnelle, documentée, couvrant l'ensemble des parcours</w:t>
      </w:r>
    </w:p>
    <w:p>
      <w:pPr>
        <w:pStyle w:val="ListParagraph"/>
        <w:numPr>
          <w:ilvl w:val="0"/>
          <w:numId w:val="1"/>
        </w:numPr>
        <w:spacing w:after="80" w:line="280"/>
      </w:pPr>
      <w:r>
        <w:t xml:space="preserve">Applications mobiles Flutter fonctionnelles : Client, Vendeur, Livreur (iOS et Android)</w:t>
      </w:r>
    </w:p>
    <w:p>
      <w:pPr>
        <w:pStyle w:val="ListParagraph"/>
        <w:numPr>
          <w:ilvl w:val="0"/>
          <w:numId w:val="1"/>
        </w:numPr>
        <w:spacing w:after="80" w:line="280"/>
      </w:pPr>
      <w:r>
        <w:t xml:space="preserve">Back-office web fonctionnel pour l'administrateur métier</w:t>
      </w:r>
    </w:p>
    <w:p>
      <w:pPr>
        <w:pStyle w:val="ListParagraph"/>
        <w:numPr>
          <w:ilvl w:val="0"/>
          <w:numId w:val="1"/>
        </w:numPr>
        <w:spacing w:after="80" w:line="280"/>
      </w:pPr>
      <w:r>
        <w:t xml:space="preserve">Documentation technique : architecture, modèle de données, description des intégrations</w:t>
      </w:r>
    </w:p>
    <w:p>
      <w:pPr>
        <w:pStyle w:val="ListParagraph"/>
        <w:numPr>
          <w:ilvl w:val="0"/>
          <w:numId w:val="1"/>
        </w:numPr>
        <w:spacing w:after="80" w:line="280"/>
      </w:pPr>
      <w:r>
        <w:t xml:space="preserve">Guide d'utilisation à destination de la porteuse du projet et des vendeurs</w:t>
      </w:r>
    </w:p>
    <w:p>
      <w:pPr>
        <w:pStyle w:val="ListParagraph"/>
        <w:numPr>
          <w:ilvl w:val="0"/>
          <w:numId w:val="1"/>
        </w:numPr>
        <w:spacing w:after="80" w:line="280"/>
      </w:pPr>
      <w:r>
        <w:t xml:space="preserve">Environnement de production sécurisé, avec sauvegardes automatisées</w:t>
      </w:r>
    </w:p>
    <w:p>
      <w:pPr>
        <w:pStyle w:val="ListParagraph"/>
        <w:numPr>
          <w:ilvl w:val="0"/>
          <w:numId w:val="1"/>
        </w:numPr>
        <w:spacing w:after="80" w:line="280"/>
      </w:pPr>
      <w:r>
        <w:t xml:space="preserve">Session de formation à l'utilisation du back-office</w:t>
      </w:r>
    </w:p>
    <w:p>
      <w:pPr>
        <w:pStyle w:val="Heading1"/>
        <w:spacing w:after="200" w:before="400"/>
      </w:pPr>
      <w:r>
        <w:t xml:space="preserve">8. Gestion de la qualité, tests et recette</w:t>
      </w:r>
    </w:p>
    <w:p>
      <w:pPr>
        <w:spacing w:after="160" w:line="300"/>
      </w:pPr>
      <w:r>
        <w:t xml:space="preserve">La fiabilité des parcours de commande et de paiement est traitée comme une exigence de premier plan, compte tenu des montants financiers en jeu à chaque transaction.</w:t>
      </w:r>
    </w:p>
    <w:p>
      <w:pPr>
        <w:pStyle w:val="ListParagraph"/>
        <w:numPr>
          <w:ilvl w:val="0"/>
          <w:numId w:val="1"/>
        </w:numPr>
        <w:spacing w:after="80" w:line="280"/>
      </w:pPr>
      <w:r>
        <w:t xml:space="preserve">Tests fonctionnels sur chaque parcours utilisateur avant chaque mise en production</w:t>
      </w:r>
    </w:p>
    <w:p>
      <w:pPr>
        <w:pStyle w:val="ListParagraph"/>
        <w:numPr>
          <w:ilvl w:val="0"/>
          <w:numId w:val="1"/>
        </w:numPr>
        <w:spacing w:after="80" w:line="280"/>
      </w:pPr>
      <w:r>
        <w:t xml:space="preserve">Vérification systématique du calcul des montants (prix, commission, frais de livraison, total) sur des cas types et des cas limites (quantité épuisée, prix modifié entre-temps, commande annulée)</w:t>
      </w:r>
    </w:p>
    <w:p>
      <w:pPr>
        <w:pStyle w:val="ListParagraph"/>
        <w:numPr>
          <w:ilvl w:val="0"/>
          <w:numId w:val="1"/>
        </w:numPr>
        <w:spacing w:after="80" w:line="280"/>
      </w:pPr>
      <w:r>
        <w:t xml:space="preserve">Recette conjointe avec la porteuse du projet, sur la base des critères de validation définis dans le cahier des charges (section 13)</w:t>
      </w:r>
    </w:p>
    <w:p>
      <w:pPr>
        <w:pStyle w:val="ListParagraph"/>
        <w:numPr>
          <w:ilvl w:val="0"/>
          <w:numId w:val="1"/>
        </w:numPr>
        <w:spacing w:after="80" w:line="280"/>
      </w:pPr>
      <w:r>
        <w:t xml:space="preserve">Correction prioritaire de toute anomalie touchant au paiement ou au calcul des montants</w:t>
      </w:r>
    </w:p>
    <w:p>
      <w:pPr>
        <w:pStyle w:val="Heading1"/>
        <w:spacing w:after="200" w:before="400"/>
      </w:pPr>
      <w:r>
        <w:t xml:space="preserve">9. Maintenance, support et évolutions</w:t>
      </w:r>
    </w:p>
    <w:p>
      <w:pPr>
        <w:pStyle w:val="Heading2"/>
        <w:spacing w:after="150" w:before="300"/>
      </w:pPr>
      <w:r>
        <w:t xml:space="preserve">9.1 Période de garantie</w:t>
      </w:r>
    </w:p>
    <w:p>
      <w:pPr>
        <w:spacing w:after="160" w:line="300"/>
      </w:pPr>
      <w:r>
        <w:t xml:space="preserve">À la mise en production, une période de garantie est proposée pour la correction des anomalies identifiées sur le périmètre livré, sans coût additionnel.</w:t>
      </w:r>
    </w:p>
    <w:p>
      <w:pPr>
        <w:pStyle w:val="Heading2"/>
        <w:spacing w:after="150" w:before="300"/>
      </w:pPr>
      <w:r>
        <w:t xml:space="preserve">9.2 Maintenance évolutive</w:t>
      </w:r>
    </w:p>
    <w:p>
      <w:pPr>
        <w:spacing w:after="160" w:line="300"/>
      </w:pPr>
      <w:r>
        <w:t xml:space="preserve">Au-delà de la garantie, un contrat de maintenance (corrective et évolutive) peut être proposé séparément, couvrant : supervision technique, sauvegardes, montées de version, corrections, et développement des fonctionnalités des versions suivantes (V2, V3).</w:t>
      </w:r>
    </w:p>
    <w:p>
      <w:pPr>
        <w:pStyle w:val="Heading2"/>
        <w:spacing w:after="150" w:before="300"/>
      </w:pPr>
      <w:r>
        <w:t xml:space="preserve">9.3 Supervision</w:t>
      </w:r>
    </w:p>
    <w:p>
      <w:pPr>
        <w:pStyle w:val="ListParagraph"/>
        <w:numPr>
          <w:ilvl w:val="0"/>
          <w:numId w:val="1"/>
        </w:numPr>
        <w:spacing w:after="80" w:line="280"/>
      </w:pPr>
      <w:r>
        <w:t xml:space="preserve">Surveillance de la disponibilité de la plateforme</w:t>
      </w:r>
    </w:p>
    <w:p>
      <w:pPr>
        <w:pStyle w:val="ListParagraph"/>
        <w:numPr>
          <w:ilvl w:val="0"/>
          <w:numId w:val="1"/>
        </w:numPr>
        <w:spacing w:after="80" w:line="280"/>
      </w:pPr>
      <w:r>
        <w:t xml:space="preserve">Suivi des journaux d'erreurs et des performances</w:t>
      </w:r>
    </w:p>
    <w:p>
      <w:pPr>
        <w:pStyle w:val="ListParagraph"/>
        <w:numPr>
          <w:ilvl w:val="0"/>
          <w:numId w:val="1"/>
        </w:numPr>
        <w:spacing w:after="80" w:line="280"/>
      </w:pPr>
      <w:r>
        <w:t xml:space="preserve">Sauvegardes régulières et vérification périodique de leur bonne exécution</w:t>
      </w:r>
    </w:p>
    <w:p>
      <w:pPr>
        <w:pStyle w:val="Heading1"/>
        <w:spacing w:after="200" w:before="400"/>
      </w:pPr>
      <w:r>
        <w:t xml:space="preserve">10. Propriété intellectuelle et confidentialité</w:t>
      </w:r>
    </w:p>
    <w:p>
      <w:pPr>
        <w:spacing w:after="160" w:line="300"/>
      </w:pPr>
      <w:r>
        <w:t xml:space="preserve">Le code source développé spécifiquement pour Béninfood est destiné à devenir la propriété de la porteuse du projet, selon les modalités qui seront précisées dans l'offre financière et le contrat associé. Les briques open source utilisées (frameworks, bibliothèques) restent régies par leurs licences respectives.</w:t>
      </w:r>
    </w:p>
    <w:p>
      <w:pPr>
        <w:spacing w:after="160" w:line="300"/>
      </w:pPr>
      <w:r>
        <w:t xml:space="preserve">Les informations transmises par la porteuse du projet dans le cadre de cette mission sont traitées de manière confidentielle. Un accord de confidentialité dédié peut être signé si la porteuse du projet le souhaite.</w:t>
      </w:r>
    </w:p>
    <w:p>
      <w:pPr>
        <w:pStyle w:val="Heading1"/>
        <w:spacing w:after="200" w:before="400"/>
      </w:pPr>
      <w:r>
        <w:t xml:space="preserve">11. Conditions de collaboration et prérequis côté porteuse du projet</w:t>
      </w:r>
    </w:p>
    <w:p>
      <w:pPr>
        <w:pStyle w:val="ListParagraph"/>
        <w:numPr>
          <w:ilvl w:val="0"/>
          <w:numId w:val="1"/>
        </w:numPr>
        <w:spacing w:after="80" w:line="280"/>
      </w:pPr>
      <w:r>
        <w:t xml:space="preserve">Disponibilité pour les ateliers de cadrage et la validation des maquettes</w:t>
      </w:r>
    </w:p>
    <w:p>
      <w:pPr>
        <w:pStyle w:val="ListParagraph"/>
        <w:numPr>
          <w:ilvl w:val="0"/>
          <w:numId w:val="1"/>
        </w:numPr>
        <w:spacing w:after="80" w:line="280"/>
      </w:pPr>
      <w:r>
        <w:t xml:space="preserve">Décision sur le choix de l'agrégateur de paiement mobile money</w:t>
      </w:r>
    </w:p>
    <w:p>
      <w:pPr>
        <w:pStyle w:val="ListParagraph"/>
        <w:numPr>
          <w:ilvl w:val="0"/>
          <w:numId w:val="1"/>
        </w:numPr>
        <w:spacing w:after="80" w:line="280"/>
      </w:pPr>
      <w:r>
        <w:t xml:space="preserve">Décision sur le statut des livreurs (interne à la plateforme ou partenariat externe)</w:t>
      </w:r>
    </w:p>
    <w:p>
      <w:pPr>
        <w:pStyle w:val="ListParagraph"/>
        <w:numPr>
          <w:ilvl w:val="0"/>
          <w:numId w:val="1"/>
        </w:numPr>
        <w:spacing w:after="80" w:line="280"/>
      </w:pPr>
      <w:r>
        <w:t xml:space="preserve">Fourniture des éléments de marque (logo, charte graphique si existante, textes de présentation)</w:t>
      </w:r>
    </w:p>
    <w:p>
      <w:pPr>
        <w:pStyle w:val="ListParagraph"/>
        <w:numPr>
          <w:ilvl w:val="0"/>
          <w:numId w:val="1"/>
        </w:numPr>
        <w:spacing w:after="80" w:line="280"/>
      </w:pPr>
      <w:r>
        <w:t xml:space="preserve">Disponibilité pour la recette finale avant mise en production</w:t>
      </w:r>
    </w:p>
    <w:p>
      <w:pPr>
        <w:pStyle w:val="ListParagraph"/>
        <w:numPr>
          <w:ilvl w:val="0"/>
          <w:numId w:val="1"/>
        </w:numPr>
        <w:spacing w:after="80" w:line="280"/>
      </w:pPr>
      <w:r>
        <w:t xml:space="preserve">Identification d'un ou deux vendeurs pilotes pour les tests réels avant généralisation</w:t>
      </w:r>
    </w:p>
    <w:p>
      <w:pPr>
        <w:pStyle w:val="Heading1"/>
        <w:spacing w:after="200" w:before="400"/>
      </w:pPr>
      <w:r>
        <w:t xml:space="preserve">12. Conclusion</w:t>
      </w:r>
    </w:p>
    <w:p>
      <w:pPr>
        <w:spacing w:after="160" w:line="300"/>
      </w:pPr>
      <w:r>
        <w:t xml:space="preserve">Cette offre technique reflète notre lecture du besoin exprimé dans le cahier des charges Béninfood : donner une existence numérique à des vendeurs de nourriture qui n'en ont pas aujourd'hui, en s'appuyant sur une gouvernance claire entre la porteuse du projet et l'équipe technique, une traçabilité financière rigoureuse, et une mise en œuvre progressive en commençant par un MVP resserré.</w:t>
      </w:r>
    </w:p>
    <w:p>
      <w:pPr>
        <w:spacing w:after="160" w:line="300"/>
      </w:pPr>
      <w:r>
        <w:t xml:space="preserve">Nous restons disponibles pour échanger sur cette proposition, l'ajuster si nécessaire, et engager la phase de cadrage détaillé dès validation.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792B" w:sz="6" w:space="4"/>
      </w:pBdr>
      <w:spacing w:after="200" w:before="400"/>
    </w:pPr>
    <w:rPr>
      <w:rFonts w:ascii="Calibri" w:cs="Calibri" w:eastAsia="Calibri" w:hAnsi="Calibri"/>
      <w:b/>
      <w:bCs/>
      <w:color w:val="1F3A5F"/>
      <w:sz w:val="30"/>
      <w:szCs w:val="30"/>
    </w:rPr>
  </w:style>
  <w:style w:type="paragraph" w:styleId="Heading2">
    <w:name w:val="Heading 2"/>
    <w:basedOn w:val="Normal"/>
    <w:next w:val="Normal"/>
    <w:qFormat/>
    <w:pPr>
      <w:spacing w:after="150" w:before="300"/>
    </w:pPr>
    <w:rPr>
      <w:rFonts w:ascii="Calibri" w:cs="Calibri" w:eastAsia="Calibri" w:hAnsi="Calibri"/>
      <w:b/>
      <w:bCs/>
      <w:color w:val="1F3A5F"/>
      <w:sz w:val="25"/>
      <w:szCs w:val="25"/>
    </w:rPr>
  </w:style>
  <w:style w:type="paragraph" w:styleId="Heading3">
    <w:name w:val="Heading 3"/>
    <w:basedOn w:val="Normal"/>
    <w:next w:val="Normal"/>
    <w:qFormat/>
    <w:pPr>
      <w:spacing w:after="100" w:before="200"/>
    </w:pPr>
    <w:rPr>
      <w:rFonts w:ascii="Calibri" w:cs="Calibri" w:eastAsia="Calibri" w:hAnsi="Calibri"/>
      <w:b/>
      <w:bCs/>
      <w:color w:val="E87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29449cd4b4157e79e2efba9c3c06568ab624e06.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technique — Béninfood</dc:title>
  <dc:creator>Ingénieur logiciel</dc:creator>
  <cp:lastModifiedBy>Un-named</cp:lastModifiedBy>
  <cp:revision>1</cp:revision>
  <dcterms:created xsi:type="dcterms:W3CDTF">2026-09-11T08:30:10.192Z</dcterms:created>
  <dcterms:modified xsi:type="dcterms:W3CDTF">2026-09-11T08:30:10.203Z</dcterms:modified>
</cp:coreProperties>
</file>

<file path=docProps/custom.xml><?xml version="1.0" encoding="utf-8"?>
<Properties xmlns="http://schemas.openxmlformats.org/officeDocument/2006/custom-properties" xmlns:vt="http://schemas.openxmlformats.org/officeDocument/2006/docPropsVTypes"/>
</file>