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95" w:type="pct"/>
        <w:tblCellMar>
          <w:top w:w="360" w:type="dxa"/>
          <w:left w:w="72" w:type="dxa"/>
          <w:right w:w="576" w:type="dxa"/>
        </w:tblCellMar>
        <w:tblLook w:val="04A0" w:firstRow="1" w:lastRow="0" w:firstColumn="1" w:lastColumn="0" w:noHBand="0" w:noVBand="1"/>
      </w:tblPr>
      <w:tblGrid>
        <w:gridCol w:w="6222"/>
        <w:gridCol w:w="4050"/>
      </w:tblGrid>
      <w:tr w:rsidR="00D64642" w14:paraId="56E724B2" w14:textId="77777777" w:rsidTr="00FF195D">
        <w:trPr>
          <w:trHeight w:hRule="exact" w:val="14318"/>
          <w:tblHeader/>
        </w:trPr>
        <w:tc>
          <w:tcPr>
            <w:tcW w:w="6120" w:type="dxa"/>
            <w:tcBorders>
              <w:top w:val="nil"/>
              <w:left w:val="nil"/>
              <w:bottom w:val="nil"/>
              <w:right w:val="thickThinSmallGap" w:sz="36" w:space="0" w:color="696700"/>
            </w:tcBorders>
            <w:shd w:val="clear" w:color="auto" w:fill="auto"/>
          </w:tcPr>
          <w:p w14:paraId="7177009C" w14:textId="742DD82E" w:rsidR="00D64642" w:rsidRDefault="00E2682D">
            <w:pPr>
              <w:pStyle w:val="Title"/>
              <w:rPr>
                <w:sz w:val="48"/>
                <w:szCs w:val="36"/>
              </w:rPr>
            </w:pPr>
            <w:r>
              <w:rPr>
                <w:rFonts w:asciiTheme="minorHAnsi" w:eastAsiaTheme="minorHAnsi" w:hAnsiTheme="minorHAnsi" w:cstheme="minorBidi"/>
                <w:caps w:val="0"/>
                <w:sz w:val="28"/>
              </w:rPr>
              <w:br w:type="page"/>
            </w:r>
            <w:r w:rsidR="004975F1">
              <w:rPr>
                <w:sz w:val="48"/>
                <w:szCs w:val="36"/>
              </w:rPr>
              <w:t>What are my next steps?</w:t>
            </w:r>
          </w:p>
          <w:p w14:paraId="7D5F467F" w14:textId="77777777" w:rsidR="00D64642" w:rsidRDefault="00D64642">
            <w:pPr>
              <w:pStyle w:val="EventHeading"/>
              <w:spacing w:before="0"/>
              <w:rPr>
                <w:rFonts w:asciiTheme="minorHAnsi" w:eastAsiaTheme="minorHAnsi" w:hAnsiTheme="minorHAnsi" w:cstheme="minorBidi"/>
                <w:caps w:val="0"/>
                <w:color w:val="404040" w:themeColor="text1" w:themeTint="BF"/>
                <w:sz w:val="28"/>
              </w:rPr>
            </w:pPr>
          </w:p>
          <w:p w14:paraId="4B2070A5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 xml:space="preserve">Print, Copy, Deliver </w:t>
            </w:r>
          </w:p>
          <w:p w14:paraId="368E432F" w14:textId="77777777" w:rsidR="00D64642" w:rsidRDefault="00D64642">
            <w:pPr>
              <w:rPr>
                <w:rFonts w:ascii="Times New Roman" w:eastAsia="Times New Roman" w:hAnsi="Times New Roman" w:cs="Times New Roman"/>
                <w:color w:val="696700"/>
              </w:rPr>
            </w:pPr>
          </w:p>
          <w:p w14:paraId="0AB4225E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You have 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{</w:t>
            </w:r>
            <w:proofErr w:type="gram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nice</w:t>
            </w:r>
            <w:proofErr w:type="gram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_number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num_downloads</w:t>
            </w:r>
            <w:proofErr w:type="spellEnd"/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) }}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forms combined into a packet. Print 3 copies of the packet, which includes all your forms. </w:t>
            </w:r>
          </w:p>
          <w:p w14:paraId="3B971DC8" w14:textId="77777777" w:rsidR="00D64642" w:rsidRDefault="00D64642">
            <w:pPr>
              <w:spacing w:line="216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2F5E4CE3" w14:textId="77777777" w:rsidR="00D64642" w:rsidRDefault="004975F1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A copy of the packet must be delivered to:</w:t>
            </w:r>
          </w:p>
          <w:p w14:paraId="4FB86207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The clerk in the {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{ court.name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}}.</w:t>
            </w:r>
          </w:p>
          <w:p w14:paraId="6F957DE8" w14:textId="374E8DCD" w:rsidR="00D64642" w:rsidRDefault="004975F1" w:rsidP="002F0C9F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landlord.has_attorney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%}Your landlord's attorney, {{ </w:t>
            </w:r>
            <w:proofErr w:type="spellStart"/>
            <w:r w:rsidR="002F0C9F" w:rsidRPr="002F0C9F">
              <w:rPr>
                <w:rFonts w:eastAsia="Times New Roman" w:cs="Times New Roman"/>
                <w:color w:val="00000A"/>
                <w:sz w:val="24"/>
                <w:szCs w:val="24"/>
              </w:rPr>
              <w:t>landlords_attorney</w:t>
            </w:r>
            <w:proofErr w:type="spellEnd"/>
            <w:r w:rsidR="002F0C9F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}}{% else %}Your landlord, {{ landlord }}{% endif %}.</w:t>
            </w:r>
          </w:p>
          <w:p w14:paraId="550C258A" w14:textId="77777777" w:rsidR="00D64642" w:rsidRDefault="004975F1">
            <w:pPr>
              <w:numPr>
                <w:ilvl w:val="0"/>
                <w:numId w:val="1"/>
              </w:numP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Keep one copy for your own records.</w:t>
            </w:r>
          </w:p>
          <w:p w14:paraId="4E090D80" w14:textId="77777777" w:rsidR="00D64642" w:rsidRDefault="00D64642">
            <w:pPr>
              <w:spacing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4C57D6B1" w14:textId="77777777" w:rsidR="00D64642" w:rsidRDefault="004975F1">
            <w:pPr>
              <w:spacing w:line="240" w:lineRule="auto"/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</w:pPr>
            <w:r>
              <w:rPr>
                <w:rFonts w:ascii="Impact" w:eastAsia="HGPSoeiKakugothicUB" w:hAnsi="Impact" w:cs="Times New Roman"/>
                <w:caps/>
                <w:color w:val="696700"/>
                <w:sz w:val="40"/>
              </w:rPr>
              <w:t>aPPEAR IN cOURT</w:t>
            </w:r>
          </w:p>
          <w:p w14:paraId="60D4336B" w14:textId="77777777" w:rsidR="00D64642" w:rsidRDefault="00D64642">
            <w:pPr>
              <w:rPr>
                <w:rFonts w:ascii="Times New Roman" w:eastAsia="Times New Roman" w:hAnsi="Times New Roman" w:cs="Times New Roman"/>
                <w:color w:val="404040"/>
              </w:rPr>
            </w:pPr>
          </w:p>
          <w:p w14:paraId="47C57805" w14:textId="77777777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You need to go to court on:</w:t>
            </w:r>
          </w:p>
          <w:p w14:paraId="7D9A4416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>{{</w:t>
            </w:r>
            <w:proofErr w:type="spellStart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>court_date</w:t>
            </w:r>
            <w:proofErr w:type="spellEnd"/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}} </w:t>
            </w:r>
            <w:r>
              <w:rPr>
                <w:rStyle w:val="Strong"/>
                <w:color w:val="00000A"/>
                <w:sz w:val="24"/>
                <w:szCs w:val="24"/>
              </w:rPr>
              <w:t xml:space="preserve">{% if not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court_is_housing_court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and </w:t>
            </w:r>
            <w:proofErr w:type="spellStart"/>
            <w:r>
              <w:rPr>
                <w:rStyle w:val="Strong"/>
                <w:color w:val="00000A"/>
                <w:sz w:val="24"/>
                <w:szCs w:val="24"/>
              </w:rPr>
              <w:t>transfer_to_housing_court</w:t>
            </w:r>
            <w:proofErr w:type="spellEnd"/>
            <w:r>
              <w:rPr>
                <w:rStyle w:val="Strong"/>
                <w:color w:val="00000A"/>
                <w:sz w:val="24"/>
                <w:szCs w:val="24"/>
              </w:rPr>
              <w:t xml:space="preserve"> %}</w:t>
            </w:r>
          </w:p>
          <w:p w14:paraId="2232EBE4" w14:textId="64388CF5" w:rsidR="00D64642" w:rsidRDefault="004975F1">
            <w:pPr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Because your case is being transferred to {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transfer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_court_name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}}, your court date may be postponed. Talk to the clerk to be sure, but you will likely get a notice in the mail with the new date</w:t>
            </w:r>
            <w:proofErr w:type="gram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.</w:t>
            </w:r>
            <w:proofErr w:type="gram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endif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%}{% if 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court_date_is_holiday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 {{</w:t>
            </w:r>
            <w:proofErr w:type="spellStart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court_date</w:t>
            </w:r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 is {{</w:t>
            </w:r>
            <w:proofErr w:type="spellStart"/>
            <w:r w:rsidR="009B0FD1" w:rsidRPr="009B0FD1">
              <w:rPr>
                <w:rFonts w:eastAsia="Times New Roman" w:cs="Times New Roman"/>
                <w:color w:val="00000A"/>
                <w:sz w:val="24"/>
                <w:szCs w:val="24"/>
              </w:rPr>
              <w:t>court_date_holiday</w:t>
            </w:r>
            <w:bookmarkStart w:id="0" w:name="_GoBack"/>
            <w:bookmarkEnd w:id="0"/>
            <w:proofErr w:type="spellEnd"/>
            <w:r>
              <w:rPr>
                <w:rFonts w:eastAsia="Times New Roman" w:cs="Times New Roman"/>
                <w:color w:val="00000A"/>
                <w:sz w:val="24"/>
                <w:szCs w:val="24"/>
              </w:rPr>
              <w:t>}}, which is a holiday. You should ask the court what they do about cases scheduled on this holiday.{% endif %}</w:t>
            </w:r>
          </w:p>
          <w:p w14:paraId="169052E3" w14:textId="77777777" w:rsidR="00D64642" w:rsidRDefault="004975F1">
            <w:pPr>
              <w:keepNext/>
              <w:keepLines/>
              <w:spacing w:before="240"/>
              <w:outlineLvl w:val="0"/>
              <w:rPr>
                <w:rFonts w:ascii="Impact" w:eastAsia="HGPSoeiKakugothicUB" w:hAnsi="Impact" w:cs="Times New Roman"/>
                <w:color w:val="696700"/>
                <w:sz w:val="32"/>
              </w:rPr>
            </w:pPr>
            <w:r>
              <w:rPr>
                <w:rFonts w:ascii="Impact" w:eastAsia="HGPSoeiKakugothicUB" w:hAnsi="Impact" w:cs="Times New Roman"/>
                <w:color w:val="696700"/>
                <w:sz w:val="32"/>
              </w:rPr>
              <w:t xml:space="preserve">Arrive by 9:00 AM. </w:t>
            </w:r>
          </w:p>
          <w:p w14:paraId="4817E348" w14:textId="77777777" w:rsidR="00D64642" w:rsidRDefault="004975F1" w:rsidP="001B6D92">
            <w:pPr>
              <w:rPr>
                <w:rFonts w:eastAsia="Times New Roman" w:cs="Times New Roman"/>
                <w:color w:val="00000A"/>
                <w:sz w:val="24"/>
                <w:szCs w:val="24"/>
              </w:rPr>
            </w:pPr>
            <w:r w:rsidRPr="004975F1">
              <w:rPr>
                <w:rFonts w:eastAsia="Times New Roman" w:cs="Times New Roman"/>
                <w:color w:val="00000A"/>
                <w:sz w:val="24"/>
                <w:szCs w:val="24"/>
              </w:rPr>
              <w:t>Look out for the Lawyer for the Day table if your court has one. Be prepared by knowing what you want and with any documents that support your case.</w:t>
            </w:r>
          </w:p>
          <w:p w14:paraId="0CE0D681" w14:textId="77777777" w:rsidR="001B6D92" w:rsidRDefault="001B6D92" w:rsidP="001B6D92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5C079885" w14:textId="5CFFE001" w:rsidR="001B6D92" w:rsidRPr="00896919" w:rsidRDefault="001B6D92" w:rsidP="001B6D9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Guided i</w:t>
            </w:r>
            <w:r w:rsidRPr="00551C23">
              <w:rPr>
                <w:i/>
                <w:sz w:val="20"/>
              </w:rPr>
              <w:t xml:space="preserve">nterview </w:t>
            </w:r>
            <w:r>
              <w:rPr>
                <w:i/>
                <w:sz w:val="20"/>
              </w:rPr>
              <w:t>update date</w:t>
            </w:r>
            <w:r w:rsidRPr="00551C23">
              <w:rPr>
                <w:i/>
                <w:sz w:val="20"/>
              </w:rPr>
              <w:t xml:space="preserve"> is {</w:t>
            </w:r>
            <w:proofErr w:type="gramStart"/>
            <w:r w:rsidRPr="00551C23">
              <w:rPr>
                <w:i/>
                <w:sz w:val="20"/>
              </w:rPr>
              <w:t xml:space="preserve">{ </w:t>
            </w:r>
            <w:proofErr w:type="spellStart"/>
            <w:r w:rsidRPr="00551C23">
              <w:rPr>
                <w:i/>
                <w:sz w:val="20"/>
              </w:rPr>
              <w:t>format</w:t>
            </w:r>
            <w:proofErr w:type="gramEnd"/>
            <w:r w:rsidRPr="00551C23">
              <w:rPr>
                <w:i/>
                <w:sz w:val="20"/>
              </w:rPr>
              <w:t>_date</w:t>
            </w:r>
            <w:proofErr w:type="spellEnd"/>
            <w:r w:rsidRPr="00551C23">
              <w:rPr>
                <w:i/>
                <w:sz w:val="20"/>
              </w:rPr>
              <w:t>(</w:t>
            </w:r>
            <w:proofErr w:type="spellStart"/>
            <w:r w:rsidRPr="00551C23">
              <w:rPr>
                <w:i/>
                <w:sz w:val="20"/>
              </w:rPr>
              <w:t>all_variables</w:t>
            </w:r>
            <w:proofErr w:type="spellEnd"/>
            <w:r w:rsidRPr="00551C23">
              <w:rPr>
                <w:i/>
                <w:sz w:val="20"/>
              </w:rPr>
              <w:t>(special='metadata')['</w:t>
            </w:r>
            <w:proofErr w:type="spellStart"/>
            <w:r w:rsidRPr="00551C23">
              <w:rPr>
                <w:i/>
                <w:sz w:val="20"/>
              </w:rPr>
              <w:t>revision_date</w:t>
            </w:r>
            <w:proofErr w:type="spellEnd"/>
            <w:r w:rsidRPr="00551C23">
              <w:rPr>
                <w:i/>
                <w:sz w:val="20"/>
              </w:rPr>
              <w:t>']) }}</w:t>
            </w:r>
            <w:r>
              <w:rPr>
                <w:i/>
                <w:sz w:val="20"/>
              </w:rPr>
              <w:t xml:space="preserve"> and these forms were generated {{ today() }}.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4152" w:type="dxa"/>
            <w:tcBorders>
              <w:top w:val="nil"/>
              <w:left w:val="thickThinSmallGap" w:sz="36" w:space="0" w:color="696700"/>
              <w:bottom w:val="nil"/>
              <w:right w:val="nil"/>
            </w:tcBorders>
            <w:shd w:val="clear" w:color="auto" w:fill="auto"/>
            <w:tcMar>
              <w:left w:w="300" w:type="dxa"/>
              <w:right w:w="72" w:type="dxa"/>
            </w:tcMar>
          </w:tcPr>
          <w:p w14:paraId="19F94346" w14:textId="3B04FB68" w:rsidR="00D64642" w:rsidRPr="00FF195D" w:rsidRDefault="004975F1" w:rsidP="00FF195D">
            <w:pPr>
              <w:pStyle w:val="EventSubhead"/>
              <w:jc w:val="center"/>
              <w:rPr>
                <w:sz w:val="32"/>
              </w:rPr>
            </w:pPr>
            <w:r>
              <w:rPr>
                <w:sz w:val="32"/>
              </w:rPr>
              <w:t>What to Do Before Your Court Date</w:t>
            </w:r>
          </w:p>
          <w:p w14:paraId="0A96915A" w14:textId="77777777" w:rsidR="00D64642" w:rsidRDefault="00D64642">
            <w:pPr>
              <w:pStyle w:val="EventSubhead"/>
              <w:jc w:val="center"/>
              <w:rPr>
                <w:sz w:val="2"/>
              </w:rPr>
            </w:pPr>
          </w:p>
          <w:p w14:paraId="5961D0BC" w14:textId="26E6B88B" w:rsid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Read the Answer form and make sure you understand your claims and defenses.</w:t>
            </w:r>
          </w:p>
          <w:p w14:paraId="421C4C69" w14:textId="0C234283" w:rsidR="00FF195D" w:rsidRP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b/>
                <w:color w:val="00000A"/>
                <w:sz w:val="24"/>
              </w:rPr>
              <w:t xml:space="preserve">You may still need to pay rent </w:t>
            </w:r>
            <w:r w:rsidRPr="00FF195D">
              <w:rPr>
                <w:color w:val="00000A"/>
                <w:sz w:val="24"/>
              </w:rPr>
              <w:t>while you wait for your court date.</w:t>
            </w:r>
          </w:p>
          <w:p w14:paraId="32150E85" w14:textId="3FBB500A" w:rsid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{%p if </w:t>
            </w:r>
            <w:proofErr w:type="spellStart"/>
            <w:r>
              <w:rPr>
                <w:color w:val="00000A"/>
                <w:sz w:val="24"/>
              </w:rPr>
              <w:t>eviction_reason</w:t>
            </w:r>
            <w:proofErr w:type="spellEnd"/>
            <w:r>
              <w:rPr>
                <w:color w:val="00000A"/>
                <w:sz w:val="24"/>
              </w:rPr>
              <w:t xml:space="preserve"> == "nonpayment" %}</w:t>
            </w:r>
          </w:p>
          <w:p w14:paraId="1F473B24" w14:textId="64362025" w:rsidR="00FF195D" w:rsidRPr="00FF195D" w:rsidRDefault="00FF195D" w:rsidP="00FF195D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Contact your local </w:t>
            </w:r>
            <w:r w:rsidRPr="00FF195D">
              <w:rPr>
                <w:color w:val="00000A"/>
                <w:sz w:val="24"/>
                <w:szCs w:val="24"/>
              </w:rPr>
              <w:t xml:space="preserve">Housing Consumer Education Center or other charities for </w:t>
            </w:r>
            <w:r>
              <w:rPr>
                <w:color w:val="00000A"/>
                <w:sz w:val="24"/>
                <w:szCs w:val="24"/>
              </w:rPr>
              <w:t>help paying rent.</w:t>
            </w:r>
            <w:r w:rsidR="00AD3B51">
              <w:rPr>
                <w:color w:val="00000A"/>
                <w:sz w:val="24"/>
                <w:szCs w:val="24"/>
              </w:rPr>
              <w:t xml:space="preserve"> </w:t>
            </w:r>
            <w:r>
              <w:rPr>
                <w:color w:val="00000A"/>
                <w:sz w:val="24"/>
                <w:szCs w:val="24"/>
              </w:rPr>
              <w:t>You may qualify for the RAFT program</w:t>
            </w:r>
            <w:r w:rsidRPr="00FF195D">
              <w:rPr>
                <w:color w:val="00000A"/>
                <w:sz w:val="24"/>
                <w:szCs w:val="24"/>
              </w:rPr>
              <w:t xml:space="preserve">. </w:t>
            </w:r>
            <w:hyperlink r:id="rId8" w:history="1">
              <w:r w:rsidRPr="00FF195D">
                <w:rPr>
                  <w:rStyle w:val="Hyperlink"/>
                  <w:sz w:val="24"/>
                  <w:szCs w:val="24"/>
                </w:rPr>
                <w:t>http://www.masshousinginfo.org/</w:t>
              </w:r>
            </w:hyperlink>
            <w:r w:rsidRPr="00FF195D">
              <w:rPr>
                <w:color w:val="00000A"/>
                <w:sz w:val="24"/>
                <w:szCs w:val="24"/>
              </w:rPr>
              <w:t xml:space="preserve">. </w:t>
            </w:r>
          </w:p>
          <w:p w14:paraId="7D1BA840" w14:textId="53353E89" w:rsidR="00D64642" w:rsidRPr="001E55A4" w:rsidRDefault="00FF195D" w:rsidP="001E55A4">
            <w:pPr>
              <w:numPr>
                <w:ilvl w:val="0"/>
                <w:numId w:val="2"/>
              </w:numPr>
              <w:spacing w:line="240" w:lineRule="auto"/>
              <w:rPr>
                <w:color w:val="00000A"/>
                <w:sz w:val="24"/>
              </w:rPr>
            </w:pPr>
            <w:r w:rsidRPr="00FF195D">
              <w:rPr>
                <w:color w:val="00000A"/>
                <w:sz w:val="24"/>
                <w:szCs w:val="24"/>
              </w:rPr>
              <w:t>{%</w:t>
            </w:r>
            <w:r>
              <w:rPr>
                <w:color w:val="00000A"/>
                <w:sz w:val="24"/>
                <w:szCs w:val="24"/>
              </w:rPr>
              <w:t>p</w:t>
            </w:r>
            <w:r w:rsidRPr="00FF195D">
              <w:rPr>
                <w:color w:val="00000A"/>
                <w:sz w:val="24"/>
                <w:szCs w:val="24"/>
              </w:rPr>
              <w:t xml:space="preserve"> endif %}</w:t>
            </w:r>
          </w:p>
          <w:p w14:paraId="29129CAF" w14:textId="4E777795" w:rsidR="00D64642" w:rsidRDefault="00FF195D">
            <w:pPr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What do I Bring to Court</w:t>
            </w:r>
            <w:r w:rsidR="004975F1">
              <w:rPr>
                <w:rFonts w:asciiTheme="majorHAnsi" w:eastAsia="HGPSoeiKakugothicUB" w:hAnsiTheme="majorHAnsi" w:cs="Times New Roman"/>
                <w:caps/>
                <w:color w:val="696700"/>
                <w:sz w:val="32"/>
              </w:rPr>
              <w:t>?</w:t>
            </w:r>
          </w:p>
          <w:p w14:paraId="4089A827" w14:textId="73842B71" w:rsidR="00D64642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Documents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to prove your case.</w:t>
            </w:r>
          </w:p>
          <w:p w14:paraId="4E23CD00" w14:textId="77777777" w:rsidR="007C79CA" w:rsidRP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List of the questions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you want to ask your landlord.</w:t>
            </w:r>
            <w:bookmarkStart w:id="1" w:name="_ednref103"/>
            <w:bookmarkEnd w:id="1"/>
          </w:p>
          <w:p w14:paraId="4E7C52D7" w14:textId="6849FAAB" w:rsid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If you have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</w:t>
            </w: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any witnesses</w:t>
            </w:r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, tell them when to appear in court. If you asked for a jury trial, this may be later than {</w:t>
            </w:r>
            <w:proofErr w:type="gramStart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{ </w:t>
            </w:r>
            <w:proofErr w:type="spellStart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court</w:t>
            </w:r>
            <w:proofErr w:type="gramEnd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_date</w:t>
            </w:r>
            <w:proofErr w:type="spellEnd"/>
            <w:r w:rsidR="00E2682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}}.</w:t>
            </w:r>
          </w:p>
          <w:p w14:paraId="2FC5B0FE" w14:textId="0BF9E5F6" w:rsidR="007C79CA" w:rsidRPr="007C79CA" w:rsidRDefault="00FF195D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Write what you want to say in your own words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about how your landlord violated the law and why you should not be evicted.</w:t>
            </w:r>
          </w:p>
          <w:p w14:paraId="617F6FA8" w14:textId="7E247404" w:rsidR="007C79CA" w:rsidRP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{%p if </w:t>
            </w:r>
            <w:proofErr w:type="spellStart"/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plead_counterclaims</w:t>
            </w:r>
            <w:proofErr w:type="spellEnd"/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%}</w:t>
            </w:r>
          </w:p>
          <w:p w14:paraId="24A46FAE" w14:textId="05DBC401" w:rsidR="007C79CA" w:rsidRPr="007C79CA" w:rsidRDefault="007C79CA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Pictures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of </w:t>
            </w:r>
            <w:r w:rsidR="00FF195D"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any bad housing conditions.</w:t>
            </w:r>
          </w:p>
          <w:p w14:paraId="197FA77B" w14:textId="3E006D69" w:rsidR="007C79CA" w:rsidRPr="007C79CA" w:rsidRDefault="00FF195D" w:rsidP="007C79CA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Certified c</w:t>
            </w:r>
            <w:r w:rsidR="007C79CA"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opies of any Board of Health inspection reports</w:t>
            </w:r>
            <w:bookmarkStart w:id="2" w:name="_ednref102"/>
            <w:bookmarkEnd w:id="2"/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.</w:t>
            </w:r>
          </w:p>
          <w:p w14:paraId="6E61221A" w14:textId="5783B8A2" w:rsidR="00D64642" w:rsidRPr="007C79CA" w:rsidRDefault="004975F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Consider asking the court to order that your landlord make repairs</w:t>
            </w:r>
            <w:r>
              <w:rPr>
                <w:rFonts w:eastAsia="Calibri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 xml:space="preserve"> even before your trial is scheduled if those conditions are very difficult for you to live with.</w:t>
            </w:r>
          </w:p>
          <w:p w14:paraId="1F66298C" w14:textId="6B6BA9F8" w:rsidR="00D64642" w:rsidRPr="001E55A4" w:rsidRDefault="007C79CA" w:rsidP="001E55A4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Calibri" w:hAnsi="Times New Roman" w:cs="Times New Roman"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eastAsia="Calibri" w:cs="Times New Roman"/>
                <w:b/>
                <w:color w:val="00000A"/>
                <w:kern w:val="0"/>
                <w:sz w:val="24"/>
                <w:szCs w:val="24"/>
                <w:lang w:eastAsia="en-US"/>
                <w14:ligatures w14:val="none"/>
              </w:rPr>
              <w:t>{%p endif %}</w:t>
            </w:r>
          </w:p>
          <w:p w14:paraId="2D549B21" w14:textId="77777777" w:rsidR="00D64642" w:rsidRDefault="004975F1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</w:rPr>
            </w:pPr>
            <w:r>
              <w:rPr>
                <w:rFonts w:asciiTheme="majorHAnsi" w:eastAsia="HGPSoeiKakugothicUB" w:hAnsiTheme="majorHAnsi" w:cs="Times New Roman"/>
                <w:caps/>
                <w:color w:val="696700"/>
              </w:rPr>
              <w:t>What if my Landlord does not Respond to my Discovery Request?</w:t>
            </w:r>
          </w:p>
          <w:p w14:paraId="21D00E77" w14:textId="77777777" w:rsidR="00D64642" w:rsidRDefault="00D64642">
            <w:pPr>
              <w:spacing w:line="216" w:lineRule="auto"/>
              <w:jc w:val="center"/>
              <w:rPr>
                <w:rFonts w:asciiTheme="majorHAnsi" w:eastAsia="HGPSoeiKakugothicUB" w:hAnsiTheme="majorHAnsi" w:cs="Times New Roman"/>
                <w:caps/>
                <w:color w:val="696700"/>
                <w:sz w:val="2"/>
              </w:rPr>
            </w:pPr>
          </w:p>
          <w:p w14:paraId="45C7BE07" w14:textId="2759A71F" w:rsidR="00D64642" w:rsidRDefault="00FF195D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Use the </w:t>
            </w:r>
            <w:r w:rsidR="00BC1280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Motion to </w:t>
            </w:r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Compel Discovery</w:t>
            </w: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form</w:t>
            </w:r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>to ask a judge to postpone the court hearing until the landlord fulfills your Discovery request</w:t>
            </w:r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(they are supposed to get it to you by {{</w:t>
            </w:r>
            <w:proofErr w:type="spellStart"/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>date_discovery_due</w:t>
            </w:r>
            <w:proofErr w:type="spellEnd"/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>}}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>.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{% if </w:t>
            </w:r>
            <w:proofErr w:type="spellStart"/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>remind_user</w:t>
            </w:r>
            <w:proofErr w:type="spellEnd"/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%}</w:t>
            </w:r>
            <w:r w:rsidR="009D1CEC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>If you asked us to, we will send you a reminder to fill this form out online later.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>{% else %}</w:t>
            </w:r>
            <w:r w:rsidR="009D1CEC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</w:t>
            </w:r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If you didn't print it, you can download 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>a new copy</w:t>
            </w:r>
            <w:r w:rsidR="00BC1280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from </w:t>
            </w:r>
            <w:hyperlink r:id="rId9" w:history="1">
              <w:r w:rsidR="00DF271B" w:rsidRPr="00382872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https://gbls.org/tactics/compel</w:t>
              </w:r>
            </w:hyperlink>
            <w:r w:rsidR="00FB3979" w:rsidRPr="00FB3979">
              <w:rPr>
                <w:rFonts w:eastAsia="Times New Roman" w:cs="Times New Roman"/>
                <w:color w:val="00000A"/>
                <w:sz w:val="24"/>
                <w:szCs w:val="24"/>
              </w:rPr>
              <w:t>.{%</w:t>
            </w:r>
            <w:r w:rsidR="00FB3979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endif %}</w:t>
            </w:r>
          </w:p>
          <w:p w14:paraId="1AD1E15F" w14:textId="77777777" w:rsidR="00D64642" w:rsidRDefault="00D64642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1AB618EE" w14:textId="499C02EB" w:rsidR="00D64642" w:rsidRPr="001B28DC" w:rsidRDefault="00BC1280">
            <w:pP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Deliver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this form </w:t>
            </w:r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no later than {</w:t>
            </w:r>
            <w:proofErr w:type="gramStart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{ </w:t>
            </w:r>
            <w:proofErr w:type="spellStart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date</w:t>
            </w:r>
            <w:proofErr w:type="gramEnd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_motion_to_compel_due</w:t>
            </w:r>
            <w:proofErr w:type="spellEnd"/>
            <w:r w:rsidR="004975F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 }}.</w:t>
            </w:r>
            <w:r w:rsidR="004975F1">
              <w:rPr>
                <w:rFonts w:eastAsia="Times New Roman" w:cs="Times New Roman"/>
                <w:color w:val="00000A"/>
                <w:sz w:val="24"/>
                <w:szCs w:val="24"/>
              </w:rPr>
              <w:t xml:space="preserve"> A copy will need to go to both your landlord and to the court.</w:t>
            </w:r>
          </w:p>
        </w:tc>
      </w:tr>
    </w:tbl>
    <w:p w14:paraId="1AC170E6" w14:textId="3914A9B5" w:rsidR="00D64642" w:rsidRDefault="00D64642" w:rsidP="008973FF">
      <w:pPr>
        <w:spacing w:line="240" w:lineRule="auto"/>
      </w:pPr>
    </w:p>
    <w:sectPr w:rsidR="00D64642">
      <w:pgSz w:w="12240" w:h="15840"/>
      <w:pgMar w:top="864" w:right="1080" w:bottom="432" w:left="1080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HGPSoeiKakugothicUB">
    <w:charset w:val="80"/>
    <w:family w:val="swiss"/>
    <w:pitch w:val="variable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39C8"/>
    <w:multiLevelType w:val="multilevel"/>
    <w:tmpl w:val="CBA62A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F74FAF"/>
    <w:multiLevelType w:val="hybridMultilevel"/>
    <w:tmpl w:val="6CB2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D126D"/>
    <w:multiLevelType w:val="multilevel"/>
    <w:tmpl w:val="1DDAAA8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4E362265"/>
    <w:multiLevelType w:val="multilevel"/>
    <w:tmpl w:val="6FC435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HGPSoeiKakugothicUB" w:hAnsi="Times New Roman"/>
        <w:color w:val="6967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42"/>
    <w:rsid w:val="00054C02"/>
    <w:rsid w:val="001B28DC"/>
    <w:rsid w:val="001B6D92"/>
    <w:rsid w:val="001E55A4"/>
    <w:rsid w:val="002F0C9F"/>
    <w:rsid w:val="004975F1"/>
    <w:rsid w:val="005A6500"/>
    <w:rsid w:val="007C79CA"/>
    <w:rsid w:val="00896919"/>
    <w:rsid w:val="008973FF"/>
    <w:rsid w:val="00902BB4"/>
    <w:rsid w:val="009B0FD1"/>
    <w:rsid w:val="009D1CEC"/>
    <w:rsid w:val="00AD3B51"/>
    <w:rsid w:val="00BC1280"/>
    <w:rsid w:val="00D637E4"/>
    <w:rsid w:val="00D64642"/>
    <w:rsid w:val="00DF271B"/>
    <w:rsid w:val="00E2682D"/>
    <w:rsid w:val="00E40DC3"/>
    <w:rsid w:val="00FB3979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161"/>
  <w15:docId w15:val="{4604E7B3-A1D1-40EC-B905-C6AB7EF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4051FA"/>
    <w:rPr>
      <w:rFonts w:asciiTheme="majorHAnsi" w:eastAsiaTheme="majorEastAsia" w:hAnsiTheme="majorHAnsi" w:cstheme="majorBidi"/>
      <w:caps/>
      <w:kern w:val="2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qFormat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EE327C"/>
    <w:rPr>
      <w:color w:val="404040" w:themeColor="background2" w:themeShade="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327C"/>
  </w:style>
  <w:style w:type="character" w:customStyle="1" w:styleId="FooterChar">
    <w:name w:val="Footer Char"/>
    <w:basedOn w:val="DefaultParagraphFont"/>
    <w:link w:val="Footer"/>
    <w:uiPriority w:val="99"/>
    <w:qFormat/>
    <w:rsid w:val="00501AF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7E71"/>
    <w:rPr>
      <w:rFonts w:ascii="Segoe UI" w:hAnsi="Segoe UI" w:cs="Segoe UI"/>
      <w:sz w:val="22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F7E71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F7E71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F7E71"/>
    <w:rPr>
      <w:sz w:val="22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F7E71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F7E71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F7E71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F7E71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F7E71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F7E71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F7E71"/>
    <w:rPr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F7E71"/>
    <w:rPr>
      <w:b/>
      <w:bCs/>
      <w:sz w:val="22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5F7E71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F7E71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F7E71"/>
    <w:rPr>
      <w:sz w:val="22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F7E7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F7E71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qFormat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qFormat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qFormat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qFormat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F7E71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qFormat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F7E71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smallCaps/>
      <w:color w:val="696700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F7E71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F7E71"/>
    <w:rPr>
      <w:rFonts w:ascii="Consolas" w:hAnsi="Consolas"/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F7E71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F7E71"/>
  </w:style>
  <w:style w:type="character" w:styleId="PageNumber">
    <w:name w:val="page number"/>
    <w:basedOn w:val="DefaultParagraphFont"/>
    <w:uiPriority w:val="99"/>
    <w:semiHidden/>
    <w:unhideWhenUsed/>
    <w:qFormat/>
    <w:rsid w:val="005F7E71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F7E71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F7E71"/>
    <w:rPr>
      <w:i/>
      <w:iCs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F7E71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F7E71"/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7563AD"/>
    <w:rPr>
      <w:color w:val="5F5F5F" w:themeColor="hyperlink"/>
      <w:u w:val="single"/>
    </w:rPr>
  </w:style>
  <w:style w:type="character" w:customStyle="1" w:styleId="ListLabel1">
    <w:name w:val="ListLabel 1"/>
    <w:qFormat/>
    <w:rPr>
      <w:rFonts w:eastAsia="HGPSoeiKakugothicUB"/>
      <w:color w:val="696700"/>
      <w:sz w:val="48"/>
    </w:rPr>
  </w:style>
  <w:style w:type="character" w:customStyle="1" w:styleId="ListLabel2">
    <w:name w:val="ListLabel 2"/>
    <w:qFormat/>
    <w:rPr>
      <w:rFonts w:ascii="Times New Roman" w:eastAsia="HGPSoeiKakugothicUB" w:hAnsi="Times New Roman"/>
      <w:color w:val="6967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rFonts w:ascii="Times New Roman" w:hAnsi="Times New Roman"/>
      <w:color w:val="00000A"/>
      <w:sz w:val="24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customStyle="1" w:styleId="TableSpace">
    <w:name w:val="Table Space"/>
    <w:basedOn w:val="Normal"/>
    <w:uiPriority w:val="99"/>
    <w:semiHidden/>
    <w:qFormat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sz w:val="180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08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F7E71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F7E71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F7E71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F7E71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F7E71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F7E71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F7E71"/>
    <w:pPr>
      <w:spacing w:line="240" w:lineRule="auto"/>
    </w:pPr>
    <w:rPr>
      <w:sz w:val="22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F7E71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5F7E71"/>
    <w:pPr>
      <w:spacing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EnvelopeAddress">
    <w:name w:val="envelope address"/>
    <w:basedOn w:val="Normal"/>
    <w:uiPriority w:val="99"/>
    <w:semiHidden/>
    <w:unhideWhenUsed/>
    <w:qFormat/>
    <w:rsid w:val="005F7E71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F7E71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uiPriority w:val="99"/>
    <w:semiHidden/>
    <w:unhideWhenUsed/>
    <w:qFormat/>
    <w:rsid w:val="005F7E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/>
        <w:bottom w:val="single" w:sz="4" w:space="10" w:color="8D8B00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F7E71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F7E71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F7E71"/>
    <w:p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5F7E71"/>
    <w:p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5F7E71"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F7E71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F7E71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F7E71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F7E71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F7E71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F7E71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5F7E7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F7E7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9"/>
    <w:qFormat/>
    <w:rsid w:val="005F7E71"/>
  </w:style>
  <w:style w:type="paragraph" w:styleId="NormalWeb">
    <w:name w:val="Normal (Web)"/>
    <w:basedOn w:val="Normal"/>
    <w:uiPriority w:val="99"/>
    <w:semiHidden/>
    <w:unhideWhenUsed/>
    <w:qFormat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F7E71"/>
    <w:pPr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F7E71"/>
    <w:pPr>
      <w:spacing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F7E71"/>
  </w:style>
  <w:style w:type="paragraph" w:styleId="TOAHeading">
    <w:name w:val="toa heading"/>
    <w:basedOn w:val="Normal"/>
    <w:next w:val="Normal"/>
    <w:uiPriority w:val="99"/>
    <w:semiHidden/>
    <w:unhideWhenUsed/>
    <w:qFormat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rPr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8B00" w:themeColor="accent1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2B2" w:themeColor="accent2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9696" w:themeColor="accent3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8080" w:themeColor="accent4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F5F" w:themeColor="accent5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D" w:themeColor="accent6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customStyle="1" w:styleId="GridTable1Light1">
    <w:name w:val="Grid Table 1 Light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F7E71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B00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969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5F5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F7E71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4D4D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customStyle="1" w:styleId="GridTable41">
    <w:name w:val="Grid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8D8B00" w:themeColor="accent1"/>
        </w:tcBorders>
      </w:tcPr>
    </w:tblStylePr>
    <w:tblStylePr w:type="nwCell">
      <w:tblPr/>
      <w:tcPr>
        <w:tcBorders>
          <w:bottom w:val="single" w:sz="4" w:space="0" w:color="8D8B00" w:themeColor="accent1"/>
        </w:tcBorders>
      </w:tcPr>
    </w:tblStylePr>
    <w:tblStylePr w:type="seCell">
      <w:tblPr/>
      <w:tcPr>
        <w:tcBorders>
          <w:top w:val="single" w:sz="4" w:space="0" w:color="8D8B00" w:themeColor="accent1"/>
        </w:tcBorders>
      </w:tcPr>
    </w:tblStylePr>
    <w:tblStylePr w:type="swCell">
      <w:tblPr/>
      <w:tcPr>
        <w:tcBorders>
          <w:top w:val="single" w:sz="4" w:space="0" w:color="8D8B00" w:themeColor="accent1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B2B2B2" w:themeColor="accent2"/>
        </w:tcBorders>
      </w:tcPr>
    </w:tblStylePr>
    <w:tblStylePr w:type="nwCell">
      <w:tblPr/>
      <w:tcPr>
        <w:tcBorders>
          <w:bottom w:val="single" w:sz="4" w:space="0" w:color="B2B2B2" w:themeColor="accent2"/>
        </w:tcBorders>
      </w:tcPr>
    </w:tblStylePr>
    <w:tblStylePr w:type="seCell">
      <w:tblPr/>
      <w:tcPr>
        <w:tcBorders>
          <w:top w:val="single" w:sz="4" w:space="0" w:color="B2B2B2" w:themeColor="accent2"/>
        </w:tcBorders>
      </w:tcPr>
    </w:tblStylePr>
    <w:tblStylePr w:type="swCell">
      <w:tblPr/>
      <w:tcPr>
        <w:tcBorders>
          <w:top w:val="single" w:sz="4" w:space="0" w:color="B2B2B2" w:themeColor="accent2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969696" w:themeColor="accent3"/>
        </w:tcBorders>
      </w:tcPr>
    </w:tblStylePr>
    <w:tblStylePr w:type="nwCell">
      <w:tblPr/>
      <w:tcPr>
        <w:tcBorders>
          <w:bottom w:val="single" w:sz="4" w:space="0" w:color="969696" w:themeColor="accent3"/>
        </w:tcBorders>
      </w:tcPr>
    </w:tblStylePr>
    <w:tblStylePr w:type="seCell">
      <w:tblPr/>
      <w:tcPr>
        <w:tcBorders>
          <w:top w:val="single" w:sz="4" w:space="0" w:color="969696" w:themeColor="accent3"/>
        </w:tcBorders>
      </w:tcPr>
    </w:tblStylePr>
    <w:tblStylePr w:type="swCell">
      <w:tblPr/>
      <w:tcPr>
        <w:tcBorders>
          <w:top w:val="single" w:sz="4" w:space="0" w:color="969696" w:themeColor="accent3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808080" w:themeColor="accent4"/>
        </w:tcBorders>
      </w:tcPr>
    </w:tblStylePr>
    <w:tblStylePr w:type="nwCell">
      <w:tblPr/>
      <w:tcPr>
        <w:tcBorders>
          <w:bottom w:val="single" w:sz="4" w:space="0" w:color="808080" w:themeColor="accent4"/>
        </w:tcBorders>
      </w:tcPr>
    </w:tblStylePr>
    <w:tblStylePr w:type="seCell">
      <w:tblPr/>
      <w:tcPr>
        <w:tcBorders>
          <w:top w:val="single" w:sz="4" w:space="0" w:color="808080" w:themeColor="accent4"/>
        </w:tcBorders>
      </w:tcPr>
    </w:tblStylePr>
    <w:tblStylePr w:type="swCell">
      <w:tblPr/>
      <w:tcPr>
        <w:tcBorders>
          <w:top w:val="single" w:sz="4" w:space="0" w:color="808080" w:themeColor="accent4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5F5F5F" w:themeColor="accent5"/>
        </w:tcBorders>
      </w:tcPr>
    </w:tblStylePr>
    <w:tblStylePr w:type="nwCell">
      <w:tblPr/>
      <w:tcPr>
        <w:tcBorders>
          <w:bottom w:val="single" w:sz="4" w:space="0" w:color="5F5F5F" w:themeColor="accent5"/>
        </w:tcBorders>
      </w:tcPr>
    </w:tblStylePr>
    <w:tblStylePr w:type="seCell">
      <w:tblPr/>
      <w:tcPr>
        <w:tcBorders>
          <w:top w:val="single" w:sz="4" w:space="0" w:color="5F5F5F" w:themeColor="accent5"/>
        </w:tcBorders>
      </w:tcPr>
    </w:tblStylePr>
    <w:tblStylePr w:type="swCell">
      <w:tblPr/>
      <w:tcPr>
        <w:tcBorders>
          <w:top w:val="single" w:sz="4" w:space="0" w:color="5F5F5F" w:themeColor="accent5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4D4D4D" w:themeColor="accent6"/>
        </w:tcBorders>
      </w:tcPr>
    </w:tblStylePr>
    <w:tblStylePr w:type="nwCell">
      <w:tblPr/>
      <w:tcPr>
        <w:tcBorders>
          <w:bottom w:val="single" w:sz="4" w:space="0" w:color="4D4D4D" w:themeColor="accent6"/>
        </w:tcBorders>
      </w:tcPr>
    </w:tblStylePr>
    <w:tblStylePr w:type="seCell">
      <w:tblPr/>
      <w:tcPr>
        <w:tcBorders>
          <w:top w:val="single" w:sz="4" w:space="0" w:color="4D4D4D" w:themeColor="accent6"/>
        </w:tcBorders>
      </w:tcPr>
    </w:tblStylePr>
    <w:tblStylePr w:type="swCell">
      <w:tblPr/>
      <w:tcPr>
        <w:tcBorders>
          <w:top w:val="single" w:sz="4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customStyle="1" w:styleId="ListTable1Light1">
    <w:name w:val="List Table 1 Light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F7E7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F7E7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F7E71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F7E71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F7E71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F7E7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F7E71"/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F7E7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F7E7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F7E71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F7E71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F7E71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F7E7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F7E71"/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F7E71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F7E71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F7E71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F7E71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F7E71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F7E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F7E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5F7E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F7E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F7E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F7E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C79CA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shousinginfo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bls.org/tactics/compel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George-Marie Jasmin</dc:creator>
  <dc:description/>
  <cp:lastModifiedBy>Steenhuis, Quinten</cp:lastModifiedBy>
  <cp:revision>30</cp:revision>
  <dcterms:created xsi:type="dcterms:W3CDTF">2018-10-30T18:38:00Z</dcterms:created>
  <dcterms:modified xsi:type="dcterms:W3CDTF">2019-02-14T20:40:00Z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