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095b9e46665119b6e7ac14a45f5953d3476fb57"/>
    <w:p>
      <w:pPr>
        <w:pStyle w:val="Heading1"/>
      </w:pPr>
      <w:r>
        <w:t xml:space="preserve">STAKEHOLDER_ROUTING.md — Distribution Logic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References:</w:t>
      </w:r>
      <w:r>
        <w:t xml:space="preserve"> </w:t>
      </w:r>
      <w:r>
        <w:t xml:space="preserve">RULE-150 through RULE-153 (RENDER_RULES.md)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GBOGEB/ABACUS routes generated outputs to different stakeholder groups based on distribution tags embedded in each slide’s semantic card. This ensures the right content reaches the right audience automatically.</w:t>
      </w:r>
    </w:p>
    <w:p>
      <w:r>
        <w:pict>
          <v:rect style="width:0;height:1.5pt" o:hralign="center" o:hrstd="t" o:hr="t"/>
        </w:pict>
      </w:r>
    </w:p>
    <w:bookmarkEnd w:id="20"/>
    <w:bookmarkStart w:id="21" w:name="distribution-tags"/>
    <w:p>
      <w:pPr>
        <w:pStyle w:val="Heading2"/>
      </w:pPr>
      <w:r>
        <w:t xml:space="preserve">Distribution Tags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66"/>
        <w:gridCol w:w="2346"/>
        <w:gridCol w:w="41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[KEB]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/ Strategic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summaries, high-level architecture views, decision frameworks, 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[DOW]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/ Implementation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specifications, implementation guides, API references, code samples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[ALL]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Stakeholders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Cross-cutting content, announcements, shared references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routing-rules"/>
    <w:p>
      <w:pPr>
        <w:pStyle w:val="Heading2"/>
      </w:pPr>
      <w:r>
        <w:t xml:space="preserve">Routing Rules</w:t>
      </w:r>
    </w:p>
    <w:bookmarkStart w:id="22" w:name="rule-1-tag-assignment"/>
    <w:p>
      <w:pPr>
        <w:pStyle w:val="Heading3"/>
      </w:pPr>
      <w:r>
        <w:t xml:space="preserve">Rule 1: Tag Assignment</w:t>
      </w:r>
    </w:p>
    <w:p>
      <w:pPr>
        <w:pStyle w:val="FirstParagraph"/>
      </w:pPr>
      <w:r>
        <w:t xml:space="preserve">Every slide or page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have at least one routing tag in its semantic card: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slide_id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arch-overview-001</w:t>
      </w:r>
      <w:r>
        <w:br/>
      </w:r>
      <w:r>
        <w:rPr>
          <w:rStyle w:val="FunctionTok"/>
        </w:rPr>
        <w:t xml:space="preserve">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"Present system architecture at 10,000ft level"</w:t>
      </w:r>
      <w:r>
        <w:br/>
      </w:r>
      <w:r>
        <w:rPr>
          <w:rStyle w:val="FunctionTok"/>
        </w:rPr>
        <w:t xml:space="preserve">audience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"Executive stakeholders"</w:t>
      </w:r>
      <w:r>
        <w:br/>
      </w:r>
      <w:r>
        <w:rPr>
          <w:rStyle w:val="FunctionTok"/>
        </w:rPr>
        <w:t xml:space="preserve">routing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KEB</w:t>
      </w:r>
      <w:r>
        <w:br/>
      </w:r>
      <w:r>
        <w:rPr>
          <w:rStyle w:val="PreprocessorTok"/>
        </w:rPr>
        <w:t xml:space="preserve">---</w:t>
      </w:r>
    </w:p>
    <w:bookmarkEnd w:id="22"/>
    <w:bookmarkStart w:id="23" w:name="rule-2-multi-tag-content"/>
    <w:p>
      <w:pPr>
        <w:pStyle w:val="Heading3"/>
      </w:pPr>
      <w:r>
        <w:t xml:space="preserve">Rule 2: Multi-Tag Content</w:t>
      </w:r>
    </w:p>
    <w:p>
      <w:pPr>
        <w:pStyle w:val="FirstParagraph"/>
      </w:pPr>
      <w:r>
        <w:t xml:space="preserve">Content may be tagged for multiple audiences:</w:t>
      </w:r>
    </w:p>
    <w:p>
      <w:pPr>
        <w:pStyle w:val="SourceCode"/>
      </w:pPr>
      <w:r>
        <w:rPr>
          <w:rStyle w:val="FunctionTok"/>
        </w:rPr>
        <w:t xml:space="preserve">routing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KEB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DOW</w:t>
      </w:r>
    </w:p>
    <w:p>
      <w:pPr>
        <w:pStyle w:val="FirstParagraph"/>
      </w:pPr>
      <w:r>
        <w:t xml:space="preserve">This generates separate output artifacts optimized for each audience.</w:t>
      </w:r>
    </w:p>
    <w:bookmarkEnd w:id="23"/>
    <w:bookmarkStart w:id="24" w:name="rule-3-default-routing"/>
    <w:p>
      <w:pPr>
        <w:pStyle w:val="Heading3"/>
      </w:pPr>
      <w:r>
        <w:t xml:space="preserve">Rule 3: Default Routing</w:t>
      </w:r>
    </w:p>
    <w:p>
      <w:pPr>
        <w:numPr>
          <w:ilvl w:val="0"/>
          <w:numId w:val="1001"/>
        </w:numPr>
        <w:pStyle w:val="Compact"/>
      </w:pPr>
      <w:r>
        <w:t xml:space="preserve">If no routing tag is specified, content defaults to</w:t>
      </w:r>
      <w:r>
        <w:t xml:space="preserve"> </w:t>
      </w:r>
      <w:r>
        <w:rPr>
          <w:rStyle w:val="VerbatimChar"/>
        </w:rPr>
        <w:t xml:space="preserve">[ALL]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[ALL]</w:t>
      </w:r>
      <w:r>
        <w:t xml:space="preserve"> </w:t>
      </w:r>
      <w:r>
        <w:t xml:space="preserve">content is included in every distribution package</w:t>
      </w:r>
    </w:p>
    <w:bookmarkEnd w:id="24"/>
    <w:bookmarkStart w:id="25" w:name="rule-4-content-adaptation"/>
    <w:p>
      <w:pPr>
        <w:pStyle w:val="Heading3"/>
      </w:pPr>
      <w:r>
        <w:t xml:space="preserve">Rule 4: Content Adaptation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36"/>
        <w:gridCol w:w="2741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[KEB]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[DOW]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Detail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/ highlights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technical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Charts, KPIs, 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diagrams, data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terminology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terminology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Slide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Condensed (≤15 slides)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(no limit)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Speaker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talking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notes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routing-pipeline"/>
    <w:p>
      <w:pPr>
        <w:pStyle w:val="Heading2"/>
      </w:pPr>
      <w:r>
        <w:t xml:space="preserve">Routing Pipeline</w:t>
      </w:r>
    </w:p>
    <w:p>
      <w:pPr>
        <w:pStyle w:val="SourceCode"/>
      </w:pPr>
      <w:r>
        <w:rPr>
          <w:rStyle w:val="VerbatimChar"/>
        </w:rPr>
        <w:t xml:space="preserve">Source Content (CODEX)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Semantic Card Parse │  ← Extract routing tags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┌─────┴──────┐</w:t>
      </w:r>
      <w:r>
        <w:br/>
      </w:r>
      <w:r>
        <w:rPr>
          <w:rStyle w:val="VerbatimChar"/>
        </w:rPr>
        <w:t xml:space="preserve">     ▼             ▼</w:t>
      </w:r>
      <w:r>
        <w:br/>
      </w:r>
      <w:r>
        <w:rPr>
          <w:rStyle w:val="VerbatimChar"/>
        </w:rPr>
        <w:t xml:space="preserve">┌─────────┐  ┌─────────┐</w:t>
      </w:r>
      <w:r>
        <w:br/>
      </w:r>
      <w:r>
        <w:rPr>
          <w:rStyle w:val="VerbatimChar"/>
        </w:rPr>
        <w:t xml:space="preserve">│  [KEB]  │  │  [DOW]  │</w:t>
      </w:r>
      <w:r>
        <w:br/>
      </w:r>
      <w:r>
        <w:rPr>
          <w:rStyle w:val="VerbatimChar"/>
        </w:rPr>
        <w:t xml:space="preserve">│ Package │  │ Package │</w:t>
      </w:r>
      <w:r>
        <w:br/>
      </w:r>
      <w:r>
        <w:rPr>
          <w:rStyle w:val="VerbatimChar"/>
        </w:rPr>
        <w:t xml:space="preserve">└────┬────┘  └────┬────┘</w:t>
      </w:r>
      <w:r>
        <w:br/>
      </w:r>
      <w:r>
        <w:rPr>
          <w:rStyle w:val="VerbatimChar"/>
        </w:rPr>
        <w:t xml:space="preserve">     │             │</w:t>
      </w:r>
      <w:r>
        <w:br/>
      </w:r>
      <w:r>
        <w:rPr>
          <w:rStyle w:val="VerbatimChar"/>
        </w:rPr>
        <w:t xml:space="preserve">     ▼             ▼</w:t>
      </w:r>
      <w:r>
        <w:br/>
      </w:r>
      <w:r>
        <w:rPr>
          <w:rStyle w:val="VerbatimChar"/>
        </w:rPr>
        <w:t xml:space="preserve">  Executive     Technical</w:t>
      </w:r>
      <w:r>
        <w:br/>
      </w:r>
      <w:r>
        <w:rPr>
          <w:rStyle w:val="VerbatimChar"/>
        </w:rPr>
        <w:t xml:space="preserve">  Distribution  Distribution</w:t>
      </w:r>
    </w:p>
    <w:bookmarkEnd w:id="27"/>
    <w:bookmarkStart w:id="28" w:name="implementation"/>
    <w:p>
      <w:pPr>
        <w:pStyle w:val="Heading2"/>
      </w:pPr>
      <w:r>
        <w:t xml:space="preserve">Implementation</w:t>
      </w:r>
    </w:p>
    <w:p>
      <w:pPr>
        <w:pStyle w:val="FirstParagraph"/>
      </w:pPr>
      <w:r>
        <w:t xml:space="preserve">Routing metadata is: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Defined</w:t>
      </w:r>
      <w:r>
        <w:t xml:space="preserve"> </w:t>
      </w:r>
      <w:r>
        <w:t xml:space="preserve">in the semantic card of each slide (YAML front matter)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Validated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RENDER_LINTER.py</w:t>
      </w:r>
      <w:r>
        <w:t xml:space="preserve"> </w:t>
      </w:r>
      <w:r>
        <w:t xml:space="preserve">(semantic_card_required rule)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Tracked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lineage_manifest.json</w:t>
      </w:r>
      <w:r>
        <w:t xml:space="preserve"> </w:t>
      </w:r>
      <w:r>
        <w:t xml:space="preserve">(stakeholder_routing field)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Enforced</w:t>
      </w:r>
      <w:r>
        <w:t xml:space="preserve"> </w:t>
      </w:r>
      <w:r>
        <w:t xml:space="preserve">via CI/CD — PRs without routing tags trigger warnings</w:t>
      </w:r>
    </w:p>
    <w:bookmarkEnd w:id="28"/>
    <w:bookmarkStart w:id="29" w:name="manifest-integration"/>
    <w:p>
      <w:pPr>
        <w:pStyle w:val="Heading2"/>
      </w:pPr>
      <w:r>
        <w:t xml:space="preserve">Manifest Integration</w:t>
      </w:r>
    </w:p>
    <w:p>
      <w:pPr>
        <w:pStyle w:val="FirstParagraph"/>
      </w:pPr>
      <w:r>
        <w:t xml:space="preserve">Each lineage record includes routing information: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"slide_id"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"arch-overview-001"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"stakeholder_routing"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"KEB"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"derived_from"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"themes/engineering/slides/architecture.yaml"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"generated_outputs"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"_site/keb/arch-overview-001.html"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"output/keb/architecture-summary.pdf"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2026-05-20T07:55:20Z</dcterms:created>
  <dcterms:modified xsi:type="dcterms:W3CDTF">2026-05-20T07:55:20Z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