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952360c56761a792ffae82b9db456a08bc8fe2"/>
    <w:p>
      <w:pPr>
        <w:pStyle w:val="Heading1"/>
      </w:pPr>
      <w:r>
        <w:t xml:space="preserve">Technical Design Report — Cryogenic Heat Load Analysis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ESS-CRYO-TDR-2026-001 ·</w:t>
      </w:r>
      <w:r>
        <w:t xml:space="preserve"> </w:t>
      </w:r>
      <w:r>
        <w:rPr>
          <w:bCs/>
          <w:b/>
        </w:rPr>
        <w:t xml:space="preserve">Revision:</w:t>
      </w:r>
      <w:r>
        <w:t xml:space="preserve"> </w:t>
      </w:r>
      <w:r>
        <w:t xml:space="preserve">A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2026-05-20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GBOGEB Engineering Team ·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Cs/>
          <w:b/>
        </w:rPr>
        <w:t xml:space="preserve">GBOGEB/ABACUS Schema:</w:t>
      </w:r>
      <w:r>
        <w:t xml:space="preserve"> </w:t>
      </w:r>
      <w:r>
        <w:t xml:space="preserve">v2.1.0 ·</w:t>
      </w:r>
      <w:r>
        <w:t xml:space="preserve"> </w:t>
      </w:r>
      <w:r>
        <w:rPr>
          <w:bCs/>
          <w:b/>
        </w:rPr>
        <w:t xml:space="preserve">Governance:</w:t>
      </w:r>
      <w:r>
        <w:t xml:space="preserve"> </w:t>
      </w:r>
      <w:r>
        <w:rPr>
          <w:rStyle w:val="VerbatimChar"/>
        </w:rPr>
        <w:t xml:space="preserve">verification_hook</w:t>
      </w:r>
      <w:r>
        <w:t xml:space="preserve"> </w:t>
      </w:r>
      <w:r>
        <w:t xml:space="preserve">validated</w:t>
      </w:r>
    </w:p>
    <w:p>
      <w:r>
        <w:pict>
          <v:rect style="width:0;height:1.5pt" o:hralign="center" o:hrstd="t" o:hr="t"/>
        </w:pict>
      </w:r>
    </w:p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presents the thermal design analysis and mass-balance verification for the</w:t>
      </w:r>
      <w:r>
        <w:t xml:space="preserve"> </w:t>
      </w:r>
      <w:r>
        <w:rPr>
          <w:bCs/>
          <w:b/>
        </w:rPr>
        <w:t xml:space="preserve">European Spallation Source — Cryogenic Distribution System</w:t>
      </w:r>
      <w:r>
        <w:t xml:space="preserve">. The facility operates</w:t>
      </w:r>
      <w:r>
        <w:t xml:space="preserve"> </w:t>
      </w:r>
      <w:r>
        <w:rPr>
          <w:bCs/>
          <w:b/>
        </w:rPr>
        <w:t xml:space="preserve">23 superconducting cryomodules</w:t>
      </w:r>
      <w:r>
        <w:t xml:space="preserve"> </w:t>
      </w:r>
      <w:r>
        <w:t xml:space="preserve">at a nominal temperature of</w:t>
      </w:r>
      <w:r>
        <w:t xml:space="preserve"> </w:t>
      </w:r>
      <w:r>
        <w:rPr>
          <w:bCs/>
          <w:b/>
        </w:rPr>
        <w:t xml:space="preserve">2.0 K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Helium-4</w:t>
      </w:r>
      <w:r>
        <w:t xml:space="preserve"> </w:t>
      </w:r>
      <w:r>
        <w:t xml:space="preserve">as the primary coolant, below the superfluid lambda point (2.1768 K).</w:t>
      </w:r>
    </w:p>
    <w:bookmarkStart w:id="20" w:name="scope"/>
    <w:p>
      <w:pPr>
        <w:pStyle w:val="Heading3"/>
      </w:pPr>
      <w:r>
        <w:t xml:space="preserve">1.1 Scope</w:t>
      </w:r>
    </w:p>
    <w:p>
      <w:pPr>
        <w:numPr>
          <w:ilvl w:val="0"/>
          <w:numId w:val="1001"/>
        </w:numPr>
        <w:pStyle w:val="Compact"/>
      </w:pPr>
      <w:r>
        <w:t xml:space="preserve">Static and dynamic heat load budget</w:t>
      </w:r>
    </w:p>
    <w:p>
      <w:pPr>
        <w:numPr>
          <w:ilvl w:val="0"/>
          <w:numId w:val="1001"/>
        </w:numPr>
        <w:pStyle w:val="Compact"/>
      </w:pPr>
      <w:r>
        <w:t xml:space="preserve">Coolant mass-flow rate verification</w:t>
      </w:r>
    </w:p>
    <w:p>
      <w:pPr>
        <w:numPr>
          <w:ilvl w:val="0"/>
          <w:numId w:val="1001"/>
        </w:numPr>
        <w:pStyle w:val="Compact"/>
      </w:pPr>
      <w:r>
        <w:t xml:space="preserve">Process topology review (cryomodule → valve → heat exchanger)</w:t>
      </w:r>
    </w:p>
    <w:p>
      <w:pPr>
        <w:numPr>
          <w:ilvl w:val="0"/>
          <w:numId w:val="1001"/>
        </w:numPr>
        <w:pStyle w:val="Compact"/>
      </w:pPr>
      <w:r>
        <w:t xml:space="preserve">GBOGEB/ABACUS governance integration</w:t>
      </w:r>
    </w:p>
    <w:bookmarkEnd w:id="20"/>
    <w:bookmarkStart w:id="21" w:name="references"/>
    <w:p>
      <w:pPr>
        <w:pStyle w:val="Heading3"/>
      </w:pPr>
      <w:r>
        <w:t xml:space="preserve">1.2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Cryogenics Technologies Group, REFPROP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Donnelly &amp; Barenghi,</w:t>
            </w:r>
            <w:r>
              <w:t xml:space="preserve"> </w:t>
            </w:r>
            <w:r>
              <w:rPr>
                <w:iCs/>
                <w:i/>
              </w:rPr>
              <w:t xml:space="preserve">J. Phys. Chem. Ref. Data</w:t>
            </w:r>
            <w:r>
              <w:t xml:space="preserve"> </w:t>
            </w:r>
            <w:r>
              <w:rPr>
                <w:bCs/>
                <w:b/>
              </w:rPr>
              <w:t xml:space="preserve">27</w:t>
            </w:r>
            <w:r>
              <w:t xml:space="preserve">, 1217 (1998)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GBOGEB/ABACUS Governance Engine Specification, v6.0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cryogenic-operating-conditions"/>
    <w:p>
      <w:pPr>
        <w:pStyle w:val="Heading2"/>
      </w:pPr>
      <w:r>
        <w:t xml:space="preserve">2. Cryogenic Operating Conditions</w:t>
      </w:r>
    </w:p>
    <w:p>
      <w:pPr>
        <w:pStyle w:val="FirstParagraph"/>
      </w:pPr>
      <w:r>
        <w:t xml:space="preserve">The helium circuit operates in a</w:t>
      </w:r>
      <w:r>
        <w:t xml:space="preserve"> </w:t>
      </w:r>
      <w:r>
        <w:rPr>
          <w:bCs/>
          <w:b/>
        </w:rPr>
        <w:t xml:space="preserve">sub-lambda</w:t>
      </w:r>
      <w:r>
        <w:t xml:space="preserve"> </w:t>
      </w:r>
      <w:r>
        <w:t xml:space="preserve">regime (He-II, superfluid), providing</w:t>
      </w:r>
      <w:r>
        <w:t xml:space="preserve"> </w:t>
      </w:r>
      <w:r>
        <w:t xml:space="preserve">exceptional thermal conductivity for SRF cavity cooling.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Enthalpy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Enthalpy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Enthalpy Difference (Δh)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J/g</w:t>
            </w:r>
          </w:p>
        </w:tc>
      </w:tr>
    </w:tbl>
    <w:bookmarkStart w:id="23" w:name="phase-regime"/>
    <w:p>
      <w:pPr>
        <w:pStyle w:val="Heading3"/>
      </w:pPr>
      <w:r>
        <w:t xml:space="preserve">2.1 Phase Regime</w:t>
      </w:r>
    </w:p>
    <w:p>
      <w:pPr>
        <w:pStyle w:val="SourceCode"/>
      </w:pPr>
      <w:r>
        <w:rPr>
          <w:rStyle w:val="VerbatimChar"/>
        </w:rPr>
        <w:t xml:space="preserve">T_supply = 2.0 K &lt; λ = 2.1768 K  →  He-II (superfluid) ✓</w:t>
      </w:r>
      <w:r>
        <w:br/>
      </w:r>
      <w:r>
        <w:rPr>
          <w:rStyle w:val="VerbatimChar"/>
        </w:rPr>
        <w:t xml:space="preserve">T_return = 4.5 K &gt; λ = 2.1768 K  →  He-I (normal fluid)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heat-load-budget"/>
    <w:p>
      <w:pPr>
        <w:pStyle w:val="Heading2"/>
      </w:pPr>
      <w:r>
        <w:t xml:space="preserve">3. Heat Load Budget</w:t>
      </w:r>
    </w:p>
    <w:bookmarkStart w:id="25" w:name="category-breakdown"/>
    <w:p>
      <w:pPr>
        <w:pStyle w:val="Heading3"/>
      </w:pPr>
      <w:r>
        <w:t xml:space="preserve">3.1 Category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— Radiation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static_radiation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— Conduction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static_conduction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— Supports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— RF losses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— Beam-induced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dynamic_beam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— HOM 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dynamic_hom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</w:tr>
    </w:tbl>
    <w:bookmarkEnd w:id="25"/>
    <w:bookmarkStart w:id="26" w:name="summary"/>
    <w:p>
      <w:pPr>
        <w:pStyle w:val="Heading3"/>
      </w:pPr>
      <w:r>
        <w:t xml:space="preserve">3.2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heat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24.5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heat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Q_dynamic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47.8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heat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72.3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heat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108.45 W</w:t>
            </w:r>
          </w:p>
        </w:tc>
      </w:tr>
    </w:tbl>
    <w:bookmarkEnd w:id="26"/>
    <w:bookmarkStart w:id="27" w:name="distribution-visualization"/>
    <w:p>
      <w:pPr>
        <w:pStyle w:val="Heading3"/>
      </w:pPr>
      <w:r>
        <w:t xml:space="preserve">3.3 Distribution Visualization</w:t>
      </w:r>
    </w:p>
    <w:p>
      <w:pPr>
        <w:pStyle w:val="SourceCode"/>
      </w:pPr>
      <w:r>
        <w:rPr>
          <w:rStyle w:val="VerbatimChar"/>
        </w:rPr>
        <w:t xml:space="preserve">Static (34%)  ████████████░░░░░░░░░░░░░░░  24.5 W</w:t>
      </w:r>
      <w:r>
        <w:br/>
      </w:r>
      <w:r>
        <w:rPr>
          <w:rStyle w:val="VerbatimChar"/>
        </w:rPr>
        <w:t xml:space="preserve">Dynamic (66%) ████████████████████████░░░░  47.8 W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        ████████████████████████████  72.3 W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ass-balance-verification"/>
    <w:p>
      <w:pPr>
        <w:pStyle w:val="Heading2"/>
      </w:pPr>
      <w:r>
        <w:t xml:space="preserve">4. Mass-Balance Verification</w:t>
      </w:r>
    </w:p>
    <w:bookmarkStart w:id="29" w:name="governing-equation"/>
    <w:p>
      <w:pPr>
        <w:pStyle w:val="Heading3"/>
      </w:pPr>
      <w:r>
        <w:t xml:space="preserve">4.1 Governing Equation</w:t>
      </w:r>
    </w:p>
    <w:p>
      <w:pPr>
        <w:pStyle w:val="FirstParagraph"/>
      </w:pPr>
      <w:r>
        <w:t xml:space="preserve">The required coolant mass-flow rate is derived from the first law of thermodynamics: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static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dynamic</m:t>
                  </m:r>
                </m:sub>
              </m:sSub>
            </m:num>
            <m:den>
              <m:r>
                <m:t>Δ</m:t>
              </m:r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Δ</m:t>
        </m:r>
        <m:r>
          <m:t>h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return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supply</m:t>
            </m:r>
          </m:sub>
        </m:sSub>
      </m:oMath>
      <w:r>
        <w:t xml:space="preserve">.</w:t>
      </w:r>
    </w:p>
    <w:bookmarkEnd w:id="29"/>
    <w:bookmarkStart w:id="30" w:name="calculation"/>
    <w:p>
      <w:pPr>
        <w:pStyle w:val="Heading3"/>
      </w:pPr>
      <w:r>
        <w:t xml:space="preserve">4.2 Calculation</w:t>
      </w:r>
    </w:p>
    <w:p>
      <w:pPr>
        <w:pStyle w:val="SourceCode"/>
      </w:pPr>
      <w:r>
        <w:rPr>
          <w:rStyle w:val="CommentTok"/>
        </w:rPr>
        <w:t xml:space="preserve"># Mass balance calculation</w:t>
      </w:r>
      <w:r>
        <w:br/>
      </w:r>
      <w:r>
        <w:rPr>
          <w:rStyle w:val="NormalTok"/>
        </w:rPr>
        <w:t xml:space="preserve">Q_static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</w:t>
      </w:r>
      <w:r>
        <w:br/>
      </w:r>
      <w:r>
        <w:rPr>
          <w:rStyle w:val="NormalTok"/>
        </w:rPr>
        <w:t xml:space="preserve">Q_dynamic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</w:t>
      </w:r>
      <w:r>
        <w:br/>
      </w:r>
      <w:r>
        <w:rPr>
          <w:rStyle w:val="NormalTok"/>
        </w:rPr>
        <w:t xml:space="preserve">Q_total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</w:t>
      </w:r>
      <w:r>
        <w:br/>
      </w:r>
      <w:r>
        <w:br/>
      </w:r>
      <w:r>
        <w:rPr>
          <w:rStyle w:val="NormalTok"/>
        </w:rPr>
        <w:t xml:space="preserve">h_supply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J/g  (He-II @ 2.0 K, 1.2 bar)</w:t>
      </w:r>
      <w:r>
        <w:br/>
      </w:r>
      <w:r>
        <w:rPr>
          <w:rStyle w:val="NormalTok"/>
        </w:rPr>
        <w:t xml:space="preserve">h_return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26.14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J/g  (He-I  @ 4.5 K, 1.05 bar)</w:t>
      </w:r>
      <w:r>
        <w:br/>
      </w:r>
      <w:r>
        <w:rPr>
          <w:rStyle w:val="NormalTok"/>
        </w:rPr>
        <w:t xml:space="preserve">delta_h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23.58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J/g</w:t>
      </w:r>
      <w:r>
        <w:br/>
      </w:r>
      <w:r>
        <w:br/>
      </w:r>
      <w:r>
        <w:rPr>
          <w:rStyle w:val="NormalTok"/>
        </w:rPr>
        <w:t xml:space="preserve">m_dot_calc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delta_h      </w:t>
      </w:r>
      <w:r>
        <w:rPr>
          <w:rStyle w:val="CommentTok"/>
        </w:rPr>
        <w:t xml:space="preserve"># = 3.066 g/s</w:t>
      </w:r>
      <w:r>
        <w:br/>
      </w:r>
      <w:r>
        <w:rPr>
          <w:rStyle w:val="NormalTok"/>
        </w:rPr>
        <w:t xml:space="preserve">m_dot_design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m_dot_calc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= 4.599 g/s (SF=1.5)</w:t>
      </w:r>
    </w:p>
    <w:bookmarkEnd w:id="30"/>
    <w:bookmarkStart w:id="31" w:name="verification-result"/>
    <w:p>
      <w:pPr>
        <w:pStyle w:val="Heading3"/>
      </w:pPr>
      <w:r>
        <w:t xml:space="preserve">4.3 Verification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ṁ (g/s)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 PASS</w:t>
      </w:r>
      <w:r>
        <w:t xml:space="preserve"> </w:t>
      </w:r>
      <w:r>
        <w:t xml:space="preserve">— Mass-flow rate within design envelope.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rocess-topology"/>
    <w:p>
      <w:pPr>
        <w:pStyle w:val="Heading2"/>
      </w:pPr>
      <w:r>
        <w:t xml:space="preserve">5. Process Topology</w:t>
      </w:r>
    </w:p>
    <w:bookmarkStart w:id="33" w:name="flowchart"/>
    <w:p>
      <w:pPr>
        <w:pStyle w:val="Heading3"/>
      </w:pPr>
      <w:r>
        <w:t xml:space="preserve">5.1 Flowchart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A[CM-01&lt;br/&gt;Cryomodule&lt;br/&gt;T=2.01 K] --&gt;|LHe supply| B[CV-01&lt;br/&gt;Control Valve&lt;br/&gt;45%]</w:t>
      </w:r>
      <w:r>
        <w:br/>
      </w:r>
      <w:r>
        <w:rPr>
          <w:rStyle w:val="VerbatimChar"/>
        </w:rPr>
        <w:t xml:space="preserve">    B --&gt;|GHe return| C[HX-01&lt;br/&gt;Heat Exchanger&lt;br/&gt;ε=94.2%]</w:t>
      </w:r>
      <w:r>
        <w:br/>
      </w:r>
      <w:r>
        <w:rPr>
          <w:rStyle w:val="VerbatimChar"/>
        </w:rPr>
        <w:t xml:space="preserve">    style A fill:#e3f2fd,stroke:#1a73e8,stroke-width:2px</w:t>
      </w:r>
      <w:r>
        <w:br/>
      </w:r>
      <w:r>
        <w:rPr>
          <w:rStyle w:val="VerbatimChar"/>
        </w:rPr>
        <w:t xml:space="preserve">    style B fill:#fff3e0,stroke:#ea8600,stroke-width:2px</w:t>
      </w:r>
      <w:r>
        <w:br/>
      </w:r>
      <w:r>
        <w:rPr>
          <w:rStyle w:val="VerbatimChar"/>
        </w:rPr>
        <w:t xml:space="preserve">    style C fill:#e8f5e9,stroke:#34a853,stroke-width:2px</w:t>
      </w:r>
    </w:p>
    <w:bookmarkEnd w:id="33"/>
    <w:bookmarkStart w:id="34" w:name="component-parameters"/>
    <w:p>
      <w:pPr>
        <w:pStyle w:val="Heading3"/>
      </w:pPr>
      <w:r>
        <w:t xml:space="preserve">5.2 Component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= 2.01 K, Q = 72.3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Valve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= 45%, Cv = 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HX-01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Exchanger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= 94.2%, Duty = 108.45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gbogebabacus-governance-integration"/>
    <w:p>
      <w:pPr>
        <w:pStyle w:val="Heading2"/>
      </w:pPr>
      <w:r>
        <w:t xml:space="preserve">6. GBOGEB/ABACUS Governance Integration</w:t>
      </w:r>
    </w:p>
    <w:p>
      <w:pPr>
        <w:pStyle w:val="FirstParagraph"/>
      </w:pPr>
      <w:r>
        <w:t xml:space="preserve">This analysis integrates with the GBOGEB/ABACUS governance framework:</w:t>
      </w:r>
    </w:p>
    <w:p>
      <w:pPr>
        <w:pStyle w:val="SourceCode"/>
      </w:pPr>
      <w:r>
        <w:rPr>
          <w:rStyle w:val="FunctionTok"/>
        </w:rPr>
        <w:t xml:space="preserve">governance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verification_hook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"engines.verification_hook"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semantic_theme_tokens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"var(--color-primary)"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"var(--color-accent)"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render_rules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figure_prefix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equation_numbering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cross_ref_validation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Start w:id="36" w:name="verification-hooks"/>
    <w:p>
      <w:pPr>
        <w:pStyle w:val="Heading3"/>
      </w:pPr>
      <w:r>
        <w:t xml:space="preserve">6.1 Verification Hooks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 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cross-references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Equation numbering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 token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conclusions"/>
    <w:p>
      <w:pPr>
        <w:pStyle w:val="Heading2"/>
      </w:pPr>
      <w:r>
        <w:t xml:space="preserve">7. Conclusions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Heat load budget</w:t>
      </w:r>
      <w:r>
        <w:t xml:space="preserve"> </w:t>
      </w:r>
      <w:r>
        <w:t xml:space="preserve">is fully characterized with 6 categories totaling</w:t>
      </w:r>
      <w:r>
        <w:t xml:space="preserve"> </w:t>
      </w:r>
      <w:r>
        <w:rPr>
          <w:bCs/>
          <w:b/>
        </w:rPr>
        <w:t xml:space="preserve">72.3 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Mass balance</w:t>
      </w:r>
      <w:r>
        <w:t xml:space="preserve"> </w:t>
      </w:r>
      <w:r>
        <w:t xml:space="preserve">verified: ṁ = 3.066 g/s (design: 4.6 g/s with SF=1.5) —</w:t>
      </w:r>
      <w:r>
        <w:t xml:space="preserve"> </w:t>
      </w:r>
      <w:r>
        <w:rPr>
          <w:bCs/>
          <w:b/>
        </w:rPr>
        <w:t xml:space="preserve">PASS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He-II superfluid</w:t>
      </w:r>
      <w:r>
        <w:t xml:space="preserve"> </w:t>
      </w:r>
      <w:r>
        <w:t xml:space="preserve">regime confirmed at supply conditions (2.0 K &lt; λ)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Heat exchanger</w:t>
      </w:r>
      <w:r>
        <w:t xml:space="preserve"> </w:t>
      </w:r>
      <w:r>
        <w:t xml:space="preserve">effectiveness (94.2%) exceeds 90% minimum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GBOGEB/ABACUS</w:t>
      </w:r>
      <w:r>
        <w:t xml:space="preserve"> </w:t>
      </w:r>
      <w:r>
        <w:t xml:space="preserve">governance hooks validated end-to-end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Proceed to detailed engineering phase.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GBOGEB/ABACUS Multi-View Engineering Tool · Schema v2.1.0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2026-05-20T08:16:12Z</dcterms:created>
  <dcterms:modified xsi:type="dcterms:W3CDTF">2026-05-20T08:16:12Z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