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461094f21bceb436b8b435b00bfc58ec4c847ea"/>
    <w:p>
      <w:pPr>
        <w:pStyle w:val="Heading1"/>
      </w:pPr>
      <w:r>
        <w:t xml:space="preserve">ARCHITECTURE.md — System Architecture Overview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System:</w:t>
      </w:r>
      <w:r>
        <w:t xml:space="preserve"> </w:t>
      </w:r>
      <w:r>
        <w:t xml:space="preserve">GBOGEB/ABACUS — Deterministic Engineering Publication Compiler</w:t>
      </w:r>
    </w:p>
    <w:p>
      <w:r>
        <w:pict>
          <v:rect style="width:0;height:1.5pt" o:hralign="center" o:hrstd="t" o:hr="t"/>
        </w:pict>
      </w:r>
    </w:p>
    <w:bookmarkStart w:id="20" w:name="system-overview"/>
    <w:p>
      <w:pPr>
        <w:pStyle w:val="Heading2"/>
      </w:pPr>
      <w:r>
        <w:t xml:space="preserve">System Overview</w:t>
      </w:r>
    </w:p>
    <w:p>
      <w:pPr>
        <w:pStyle w:val="FirstParagraph"/>
      </w:pPr>
      <w:r>
        <w:t xml:space="preserve">GBOGEB/ABACUS is a</w:t>
      </w:r>
      <w:r>
        <w:t xml:space="preserve"> </w:t>
      </w:r>
      <w:r>
        <w:rPr>
          <w:bCs/>
          <w:b/>
        </w:rPr>
        <w:t xml:space="preserve">governed publishing platform</w:t>
      </w:r>
      <w:r>
        <w:t xml:space="preserve"> </w:t>
      </w:r>
      <w:r>
        <w:t xml:space="preserve">that transforms design blueprints into deterministic, accessible, and traceable engineering publications. It operates across three parallel domains: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Rendering Engine</w:t>
      </w:r>
      <w:r>
        <w:t xml:space="preserve"> </w:t>
      </w:r>
      <w:r>
        <w:t xml:space="preserve">— Constraint-driven layout, typography, and theme application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Publication Governance</w:t>
      </w:r>
      <w:r>
        <w:t xml:space="preserve"> </w:t>
      </w:r>
      <w:r>
        <w:t xml:space="preserve">— Linting, contrast checking, and compliance validation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Knowledge Lineage System</w:t>
      </w:r>
      <w:r>
        <w:t xml:space="preserve"> </w:t>
      </w:r>
      <w:r>
        <w:t xml:space="preserve">— Immutable traceability from source to output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-diagram"/>
    <w:p>
      <w:pPr>
        <w:pStyle w:val="Heading2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GBOGEB/CODEX                           │</w:t>
      </w:r>
      <w:r>
        <w:br/>
      </w:r>
      <w:r>
        <w:rPr>
          <w:rStyle w:val="VerbatimChar"/>
        </w:rPr>
        <w:t xml:space="preserve">│               (Design &amp; Theme Blueprint)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themes/  │  designs/  │  content/  │  layouts/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 Binary Export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GBOGEB/ABACUS                           │</w:t>
      </w:r>
      <w:r>
        <w:br/>
      </w:r>
      <w:r>
        <w:rPr>
          <w:rStyle w:val="VerbatimChar"/>
        </w:rPr>
        <w:t xml:space="preserve">│              (Governance &amp; Processing Engine)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┌──────────────┐  │</w:t>
      </w:r>
      <w:r>
        <w:br/>
      </w:r>
      <w:r>
        <w:rPr>
          <w:rStyle w:val="VerbatimChar"/>
        </w:rPr>
        <w:t xml:space="preserve">│  │ Input Gate   │    │  A6 Engines  │    │ Jekyll Build │  │</w:t>
      </w:r>
      <w:r>
        <w:br/>
      </w:r>
      <w:r>
        <w:rPr>
          <w:rStyle w:val="VerbatimChar"/>
        </w:rPr>
        <w:t xml:space="preserve">│  │              │    │              │    │              │  │</w:t>
      </w:r>
      <w:r>
        <w:br/>
      </w:r>
      <w:r>
        <w:rPr>
          <w:rStyle w:val="VerbatimChar"/>
        </w:rPr>
        <w:t xml:space="preserve">│  │ Input_Master/│───▶│ Linter       │───▶│ _layouts/    │  │</w:t>
      </w:r>
      <w:r>
        <w:br/>
      </w:r>
      <w:r>
        <w:rPr>
          <w:rStyle w:val="VerbatimChar"/>
        </w:rPr>
        <w:t xml:space="preserve">│  │ .mock files  │    │ Contrast     │    │ _includes/   │  │</w:t>
      </w:r>
      <w:r>
        <w:br/>
      </w:r>
      <w:r>
        <w:rPr>
          <w:rStyle w:val="VerbatimChar"/>
        </w:rPr>
        <w:t xml:space="preserve">│  │ Verification │    │ Slide ID     │    │ assets/      │  │</w:t>
      </w:r>
      <w:r>
        <w:br/>
      </w:r>
      <w:r>
        <w:rPr>
          <w:rStyle w:val="VerbatimChar"/>
        </w:rPr>
        <w:t xml:space="preserve">│  │ Hook         │    │ Lineage      │    │              │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└──────┬───────┘  │</w:t>
      </w:r>
      <w:r>
        <w:br/>
      </w:r>
      <w:r>
        <w:rPr>
          <w:rStyle w:val="VerbatimChar"/>
        </w:rPr>
        <w:t xml:space="preserve">│                                                  │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       │          │</w:t>
      </w:r>
      <w:r>
        <w:br/>
      </w:r>
      <w:r>
        <w:rPr>
          <w:rStyle w:val="VerbatimChar"/>
        </w:rPr>
        <w:t xml:space="preserve">│  │ _data/       │    │ config/      │           │          │</w:t>
      </w:r>
      <w:r>
        <w:br/>
      </w:r>
      <w:r>
        <w:rPr>
          <w:rStyle w:val="VerbatimChar"/>
        </w:rPr>
        <w:t xml:space="preserve">│  │ manifest.json│    │ schemas      │           ▼          │</w:t>
      </w:r>
      <w:r>
        <w:br/>
      </w:r>
      <w:r>
        <w:rPr>
          <w:rStyle w:val="VerbatimChar"/>
        </w:rPr>
        <w:t xml:space="preserve">│  │              │    │ contracts    │    ┌──────────────┐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│ _site/       │  │</w:t>
      </w:r>
      <w:r>
        <w:br/>
      </w:r>
      <w:r>
        <w:rPr>
          <w:rStyle w:val="VerbatimChar"/>
        </w:rPr>
        <w:t xml:space="preserve">│                                          │ (HTML output)│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└──────────────┘  │</w:t>
      </w:r>
      <w:r>
        <w:br/>
      </w:r>
      <w:r>
        <w:rPr>
          <w:rStyle w:val="VerbatimChar"/>
        </w:rPr>
        <w:t xml:space="preserve">│  │ .github/     │    │ tests/       │                      │</w:t>
      </w:r>
      <w:r>
        <w:br/>
      </w:r>
      <w:r>
        <w:rPr>
          <w:rStyle w:val="VerbatimChar"/>
        </w:rPr>
        <w:t xml:space="preserve">│  │ workflows    │    │ unit + integ │                      │</w:t>
      </w:r>
      <w:r>
        <w:br/>
      </w:r>
      <w:r>
        <w:rPr>
          <w:rStyle w:val="VerbatimChar"/>
        </w:rPr>
        <w:t xml:space="preserve">│  │ PR templates │    │              │                    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8" w:name="a6-subsystems"/>
    <w:p>
      <w:pPr>
        <w:pStyle w:val="Heading2"/>
      </w:pPr>
      <w:r>
        <w:t xml:space="preserve">A6 Subsystems</w:t>
      </w:r>
    </w:p>
    <w:bookmarkStart w:id="22" w:name="a6-1-semantic-layout-engine"/>
    <w:p>
      <w:pPr>
        <w:pStyle w:val="Heading3"/>
      </w:pPr>
      <w:r>
        <w:t xml:space="preserve">A6-1: Semantic Layout Engine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LAYOUT_CONTRACTS.yaml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Constraint-driven visual layout with deterministic spacing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Enforces:</w:t>
      </w:r>
      <w:r>
        <w:t xml:space="preserve"> </w:t>
      </w:r>
      <w:r>
        <w:t xml:space="preserve">Grid system, spacing scale, overflow prevention, slide templates</w:t>
      </w:r>
    </w:p>
    <w:bookmarkEnd w:id="22"/>
    <w:bookmarkStart w:id="23" w:name="a6-2-typography-engine"/>
    <w:p>
      <w:pPr>
        <w:pStyle w:val="Heading3"/>
      </w:pPr>
      <w:r>
        <w:t xml:space="preserve">A6-2: Typography Engine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LAYOUT_CONTRACTS.yaml</w:t>
      </w:r>
      <w:r>
        <w:t xml:space="preserve"> </w:t>
      </w:r>
      <w:r>
        <w:t xml:space="preserve">(typography section)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Heading hierarchy enforcement, modular type scale (1.25 Major Third)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Enforces:</w:t>
      </w:r>
      <w:r>
        <w:t xml:space="preserve"> </w:t>
      </w:r>
      <w:r>
        <w:t xml:space="preserve">Font sizes, line heights, sequential heading levels</w:t>
      </w:r>
    </w:p>
    <w:bookmarkEnd w:id="23"/>
    <w:bookmarkStart w:id="24" w:name="a6-3-contrast-governance-engine"/>
    <w:p>
      <w:pPr>
        <w:pStyle w:val="Heading3"/>
      </w:pPr>
      <w:r>
        <w:t xml:space="preserve">A6-3: Contrast Governance Engine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SEMANTIC_THEME.yaml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WCAG_CONTRAST_CHECKER.py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WCAG AA compliance via semantic color tokens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Enforces:</w:t>
      </w:r>
      <w:r>
        <w:t xml:space="preserve"> </w:t>
      </w:r>
      <w:r>
        <w:t xml:space="preserve">4.5:1 text contrast, 3:1 large text/UI components, theme switching</w:t>
      </w:r>
    </w:p>
    <w:bookmarkEnd w:id="24"/>
    <w:bookmarkStart w:id="25" w:name="a6-4-lineage-engine"/>
    <w:p>
      <w:pPr>
        <w:pStyle w:val="Heading3"/>
      </w:pPr>
      <w:r>
        <w:t xml:space="preserve">A6-4: Lineage Engine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LINEAGE_SCHEMA.yaml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verification_hook.py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SLIDE_ID_ENFORCER.py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Immutable traceability from source to output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Enforces:</w:t>
      </w:r>
      <w:r>
        <w:t xml:space="preserve"> </w:t>
      </w:r>
      <w:r>
        <w:t xml:space="preserve">SHA256 hashing, .mock sidecars, slide_id format, manifest integrity</w:t>
      </w:r>
    </w:p>
    <w:bookmarkEnd w:id="25"/>
    <w:bookmarkStart w:id="26" w:name="a6-5-renderer-linting"/>
    <w:p>
      <w:pPr>
        <w:pStyle w:val="Heading3"/>
      </w:pPr>
      <w:r>
        <w:t xml:space="preserve">A6-5: Renderer Linting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RENDER_LINTER.py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ESLint-style rule enforcement for engineering decks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Rules:</w:t>
      </w:r>
      <w:r>
        <w:t xml:space="preserve"> </w:t>
      </w:r>
      <w:r>
        <w:t xml:space="preserve">no_overflow, no_low_contrast, no_orphan_bullets, stable_heading_hierarchy, figure_reference_required, speaker_notes_required, semantic_card_required</w:t>
      </w:r>
    </w:p>
    <w:bookmarkEnd w:id="26"/>
    <w:bookmarkStart w:id="27" w:name="a6-6-figure-registry-browser"/>
    <w:p>
      <w:pPr>
        <w:pStyle w:val="Heading3"/>
      </w:pPr>
      <w:r>
        <w:t xml:space="preserve">A6-6: Figure Registry Browser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Knowledge graph publication with cross-referenced figures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Enforces:</w:t>
      </w:r>
      <w:r>
        <w:t xml:space="preserve"> </w:t>
      </w:r>
      <w:r>
        <w:t xml:space="preserve">Figure IDs, captions, alt text, bidirectional text references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echnology-stack"/>
    <w:p>
      <w:pPr>
        <w:pStyle w:val="Heading2"/>
      </w:pPr>
      <w:r>
        <w:t xml:space="preserve">Technology Stack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Engines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Linting, validation,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Schemas, contracts, themes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Jekyll 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HTML-first semantic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Custom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token-based theming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validation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asset fingerprinting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Lineage manifest, .mock sidecars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file-system-layout"/>
    <w:p>
      <w:pPr>
        <w:pStyle w:val="Heading2"/>
      </w:pPr>
      <w:r>
        <w:t xml:space="preserve">File System Layout</w:t>
      </w:r>
    </w:p>
    <w:p>
      <w:pPr>
        <w:pStyle w:val="SourceCode"/>
      </w:pPr>
      <w:r>
        <w:rPr>
          <w:rStyle w:val="VerbatimChar"/>
        </w:rPr>
        <w:t xml:space="preserve">gbogeb_abacus/</w:t>
      </w:r>
      <w:r>
        <w:br/>
      </w:r>
      <w:r>
        <w:rPr>
          <w:rStyle w:val="VerbatimChar"/>
        </w:rPr>
        <w:t xml:space="preserve">├── Input_Master/           # Binary asset ingestion point</w:t>
      </w:r>
      <w:r>
        <w:br/>
      </w:r>
      <w:r>
        <w:rPr>
          <w:rStyle w:val="VerbatimChar"/>
        </w:rPr>
        <w:t xml:space="preserve">│   ├── *.pptx/.pdf/.png   # Binary assets (.gitignored)</w:t>
      </w:r>
      <w:r>
        <w:br/>
      </w:r>
      <w:r>
        <w:rPr>
          <w:rStyle w:val="VerbatimChar"/>
        </w:rPr>
        <w:t xml:space="preserve">│   └── *.mock              # Immutable sidecar metadata (tracked)</w:t>
      </w:r>
      <w:r>
        <w:br/>
      </w:r>
      <w:r>
        <w:rPr>
          <w:rStyle w:val="VerbatimChar"/>
        </w:rPr>
        <w:t xml:space="preserve">├── _data/</w:t>
      </w:r>
      <w:r>
        <w:br/>
      </w:r>
      <w:r>
        <w:rPr>
          <w:rStyle w:val="VerbatimChar"/>
        </w:rPr>
        <w:t xml:space="preserve">│   └── lineage_manifest.json  # Central lineage registry</w:t>
      </w:r>
      <w:r>
        <w:br/>
      </w:r>
      <w:r>
        <w:rPr>
          <w:rStyle w:val="VerbatimChar"/>
        </w:rPr>
        <w:t xml:space="preserve">├── engines/                # A6 governance subsystems</w:t>
      </w:r>
      <w:r>
        <w:br/>
      </w:r>
      <w:r>
        <w:rPr>
          <w:rStyle w:val="VerbatimChar"/>
        </w:rPr>
        <w:t xml:space="preserve">│   ├── RENDER_RULES.md     # Comprehensive governance rules</w:t>
      </w:r>
      <w:r>
        <w:br/>
      </w:r>
      <w:r>
        <w:rPr>
          <w:rStyle w:val="VerbatimChar"/>
        </w:rPr>
        <w:t xml:space="preserve">│   ├── SEMANTIC_THEME.yaml # Light/dark/high-contrast tokens</w:t>
      </w:r>
      <w:r>
        <w:br/>
      </w:r>
      <w:r>
        <w:rPr>
          <w:rStyle w:val="VerbatimChar"/>
        </w:rPr>
        <w:t xml:space="preserve">│   ├── LAYOUT_CONTRACTS.yaml # Spacing, grid, typography</w:t>
      </w:r>
      <w:r>
        <w:br/>
      </w:r>
      <w:r>
        <w:rPr>
          <w:rStyle w:val="VerbatimChar"/>
        </w:rPr>
        <w:t xml:space="preserve">│   ├── RENDER_LINTER.py    # ESLint-style content linter</w:t>
      </w:r>
      <w:r>
        <w:br/>
      </w:r>
      <w:r>
        <w:rPr>
          <w:rStyle w:val="VerbatimChar"/>
        </w:rPr>
        <w:t xml:space="preserve">│   ├── LINEAGE_SCHEMA.yaml # Traceability schema</w:t>
      </w:r>
      <w:r>
        <w:br/>
      </w:r>
      <w:r>
        <w:rPr>
          <w:rStyle w:val="VerbatimChar"/>
        </w:rPr>
        <w:t xml:space="preserve">│   ├── WCAG_CONTRAST_CHECKER.py # Contrast validation</w:t>
      </w:r>
      <w:r>
        <w:br/>
      </w:r>
      <w:r>
        <w:rPr>
          <w:rStyle w:val="VerbatimChar"/>
        </w:rPr>
        <w:t xml:space="preserve">│   ├── SLIDE_ID_ENFORCER.py # Slide ID format checker</w:t>
      </w:r>
      <w:r>
        <w:br/>
      </w:r>
      <w:r>
        <w:rPr>
          <w:rStyle w:val="VerbatimChar"/>
        </w:rPr>
        <w:t xml:space="preserve">│   ├── RENDER_TEST_SUITE.md # Test scenarios</w:t>
      </w:r>
      <w:r>
        <w:br/>
      </w:r>
      <w:r>
        <w:rPr>
          <w:rStyle w:val="VerbatimChar"/>
        </w:rPr>
        <w:t xml:space="preserve">│   └── verification_hook.py # Asset verification pipeline</w:t>
      </w:r>
      <w:r>
        <w:br/>
      </w:r>
      <w:r>
        <w:rPr>
          <w:rStyle w:val="VerbatimChar"/>
        </w:rPr>
        <w:t xml:space="preserve">├── config/                 # YAML schemas and contracts</w:t>
      </w:r>
      <w:r>
        <w:br/>
      </w:r>
      <w:r>
        <w:rPr>
          <w:rStyle w:val="VerbatimChar"/>
        </w:rPr>
        <w:t xml:space="preserve">├── docs/                   # Architecture documentation</w:t>
      </w:r>
      <w:r>
        <w:br/>
      </w:r>
      <w:r>
        <w:rPr>
          <w:rStyle w:val="VerbatimChar"/>
        </w:rPr>
        <w:t xml:space="preserve">├── _layouts/               # Jekyll HTML templates</w:t>
      </w:r>
      <w:r>
        <w:br/>
      </w:r>
      <w:r>
        <w:rPr>
          <w:rStyle w:val="VerbatimChar"/>
        </w:rPr>
        <w:t xml:space="preserve">├── _includes/              # Jekyll reusable components</w:t>
      </w:r>
      <w:r>
        <w:br/>
      </w:r>
      <w:r>
        <w:rPr>
          <w:rStyle w:val="VerbatimChar"/>
        </w:rPr>
        <w:t xml:space="preserve">├── assets/                 # CSS, JS, static assets</w:t>
      </w:r>
      <w:r>
        <w:br/>
      </w:r>
      <w:r>
        <w:rPr>
          <w:rStyle w:val="VerbatimChar"/>
        </w:rPr>
        <w:t xml:space="preserve">├── tests/                  # Automated test suites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├── workflows/          # CI/CD automation</w:t>
      </w:r>
      <w:r>
        <w:br/>
      </w:r>
      <w:r>
        <w:rPr>
          <w:rStyle w:val="VerbatimChar"/>
        </w:rPr>
        <w:t xml:space="preserve">│   ├── PULL_REQUEST_TEMPLATE.md</w:t>
      </w:r>
      <w:r>
        <w:br/>
      </w:r>
      <w:r>
        <w:rPr>
          <w:rStyle w:val="VerbatimChar"/>
        </w:rPr>
        <w:t xml:space="preserve">│   └── CODEOWNERS</w:t>
      </w:r>
      <w:r>
        <w:br/>
      </w:r>
      <w:r>
        <w:rPr>
          <w:rStyle w:val="VerbatimChar"/>
        </w:rPr>
        <w:t xml:space="preserve">├── _config.yml             # Jekyll configuration</w:t>
      </w:r>
      <w:r>
        <w:br/>
      </w:r>
      <w:r>
        <w:rPr>
          <w:rStyle w:val="VerbatimChar"/>
        </w:rPr>
        <w:t xml:space="preserve">├── Gemfile                 # Ruby dependencies</w:t>
      </w:r>
      <w:r>
        <w:br/>
      </w:r>
      <w:r>
        <w:rPr>
          <w:rStyle w:val="VerbatimChar"/>
        </w:rPr>
        <w:t xml:space="preserve">└── README.md               # Project documentation</w:t>
      </w:r>
    </w:p>
    <w:p>
      <w:r>
        <w:pict>
          <v:rect style="width:0;height:1.5pt" o:hralign="center" o:hrstd="t" o:hr="t"/>
        </w:pict>
      </w:r>
    </w:p>
    <w:bookmarkEnd w:id="30"/>
    <w:bookmarkStart w:id="31" w:name="security-and-integrity-model"/>
    <w:p>
      <w:pPr>
        <w:pStyle w:val="Heading2"/>
      </w:pPr>
      <w:r>
        <w:t xml:space="preserve">Security and Integrity Model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Source Authority</w:t>
      </w:r>
      <w:r>
        <w:t xml:space="preserve">: CODEX is the single source of truth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Hash Verification</w:t>
      </w:r>
      <w:r>
        <w:t xml:space="preserve">: Every binary asset is SHA256-fingerprinted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Immutable Metadata</w:t>
      </w:r>
      <w:r>
        <w:t xml:space="preserve">: .mock sidecar files are never edited manually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Commit Pinning</w:t>
      </w:r>
      <w:r>
        <w:t xml:space="preserve">: render_commit traces exact engine state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Code Review</w:t>
      </w:r>
      <w:r>
        <w:t xml:space="preserve">: CODEOWNERS enforces review requirements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CI/CD Gates</w:t>
      </w:r>
      <w:r>
        <w:t xml:space="preserve">: All governance checks must pass before merge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2026-05-20T07:55:54Z</dcterms:created>
  <dcterms:modified xsi:type="dcterms:W3CDTF">2026-05-20T07:55:54Z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