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myrrha-handover-slide-notes-guide"/>
    <w:p>
      <w:pPr>
        <w:pStyle w:val="Heading1"/>
      </w:pPr>
      <w:r>
        <w:t xml:space="preserve">MYRRHA Handover — Slide Notes Guide</w:t>
      </w:r>
    </w:p>
    <w:p>
      <w:pPr>
        <w:pStyle w:val="FirstParagraph"/>
      </w:pPr>
      <w:r>
        <w:t xml:space="preserve">Slide notes are free-form review/action commentary attached to each slide.</w:t>
      </w:r>
      <w:r>
        <w:t xml:space="preserve"> </w:t>
      </w:r>
      <w:r>
        <w:t xml:space="preserve">They render under a dashed divider, in muted text, with keyword highlighting.</w:t>
      </w:r>
    </w:p>
    <w:bookmarkStart w:id="20" w:name="comment-syntax"/>
    <w:p>
      <w:pPr>
        <w:pStyle w:val="Heading2"/>
      </w:pPr>
      <w:r>
        <w:t xml:space="preserve">Comment syntax</w:t>
      </w:r>
    </w:p>
    <w:p>
      <w:pPr>
        <w:pStyle w:val="FirstParagraph"/>
      </w:pPr>
      <w:r>
        <w:t xml:space="preserve">Use plain prose. The renderer highlights three keywords in accent orange: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Keyword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 item — must be completed before sign-off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Needs validation by another engineer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Concrete action point with an owner</w:t>
            </w:r>
          </w:p>
        </w:tc>
      </w:tr>
    </w:tbl>
    <w:p>
      <w:pPr>
        <w:pStyle w:val="BodyText"/>
      </w:pPr>
      <w:r>
        <w:t xml:space="preserve">Example:</w:t>
      </w:r>
    </w:p>
    <w:p>
      <w:pPr>
        <w:pStyle w:val="SourceCode"/>
      </w:pPr>
      <w:r>
        <w:rPr>
          <w:rStyle w:val="VerbatimChar"/>
        </w:rPr>
        <w:t xml:space="preserve">TODO: confirm B2 against latest test bench data.</w:t>
      </w:r>
      <w:r>
        <w:br/>
      </w:r>
      <w:r>
        <w:rPr>
          <w:rStyle w:val="VerbatimChar"/>
        </w:rPr>
        <w:t xml:space="preserve">REVIEW: K. (Kaeser) to verify HP3 nameplate.</w:t>
      </w:r>
      <w:r>
        <w:br/>
      </w:r>
      <w:r>
        <w:rPr>
          <w:rStyle w:val="VerbatimChar"/>
        </w:rPr>
        <w:t xml:space="preserve">ACTION: schedule v0.5 meeting before 2026-06-01.</w:t>
      </w:r>
    </w:p>
    <w:bookmarkEnd w:id="20"/>
    <w:bookmarkStart w:id="21" w:name="where-to-write-notes"/>
    <w:p>
      <w:pPr>
        <w:pStyle w:val="Heading2"/>
      </w:pPr>
      <w:r>
        <w:t xml:space="preserve">Where to write notes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Master: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master/slides.md</w:t>
      </w:r>
      <w:r>
        <w:t xml:space="preserve"> </w:t>
      </w:r>
      <w:r>
        <w:t xml:space="preserve">under the</w:t>
      </w:r>
      <w:r>
        <w:t xml:space="preserve"> </w:t>
      </w:r>
      <w:r>
        <w:rPr>
          <w:rStyle w:val="VerbatimChar"/>
        </w:rPr>
        <w:t xml:space="preserve">notes: |</w:t>
      </w:r>
      <w:r>
        <w:t xml:space="preserve"> </w:t>
      </w:r>
      <w:r>
        <w:t xml:space="preserve">front-matter key.</w:t>
      </w:r>
      <w:r>
        <w:t xml:space="preserve"> </w:t>
      </w:r>
      <w:r>
        <w:t xml:space="preserve">All lines must be indented two spaces under the</w:t>
      </w:r>
      <w:r>
        <w:t xml:space="preserve"> </w:t>
      </w:r>
      <w:r>
        <w:rPr>
          <w:rStyle w:val="VerbatimChar"/>
        </w:rPr>
        <w:t xml:space="preserve">|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Editor:</w:t>
      </w:r>
      <w:r>
        <w:t xml:space="preserve"> </w:t>
      </w:r>
      <w:r>
        <w:rPr>
          <w:rStyle w:val="VerbatimChar"/>
        </w:rPr>
        <w:t xml:space="preserve">slide-editor.html</w:t>
      </w:r>
      <w:r>
        <w:t xml:space="preserve"> </w:t>
      </w:r>
      <w:r>
        <w:t xml:space="preserve">→ bottom textarea (yellow background).</w:t>
      </w:r>
      <w:r>
        <w:t xml:space="preserve"> </w:t>
      </w:r>
      <w:r>
        <w:t xml:space="preserve">Saves to</w:t>
      </w:r>
      <w:r>
        <w:t xml:space="preserve"> </w:t>
      </w:r>
      <w:r>
        <w:rPr>
          <w:rStyle w:val="VerbatimChar"/>
        </w:rPr>
        <w:t xml:space="preserve">localStorage</w:t>
      </w:r>
      <w:r>
        <w:t xml:space="preserve">; export with</w:t>
      </w:r>
      <w:r>
        <w:t xml:space="preserve"> </w:t>
      </w:r>
      <w:r>
        <w:rPr>
          <w:bCs/>
          <w:b/>
        </w:rPr>
        <w:t xml:space="preserve">Export slide Markdown</w:t>
      </w:r>
      <w:r>
        <w:t xml:space="preserve"> </w:t>
      </w:r>
      <w:r>
        <w:t xml:space="preserve">and paste back</w:t>
      </w:r>
      <w:r>
        <w:t xml:space="preserve"> </w:t>
      </w:r>
      <w:r>
        <w:t xml:space="preserve">into</w:t>
      </w:r>
      <w:r>
        <w:t xml:space="preserve"> </w:t>
      </w:r>
      <w:r>
        <w:rPr>
          <w:rStyle w:val="VerbatimChar"/>
        </w:rPr>
        <w:t xml:space="preserve">master/slides.md</w:t>
      </w:r>
      <w:r>
        <w:t xml:space="preserve"> </w:t>
      </w:r>
      <w:r>
        <w:t xml:space="preserve">to make the change canonical.</w:t>
      </w:r>
    </w:p>
    <w:bookmarkEnd w:id="21"/>
    <w:bookmarkStart w:id="22" w:name="conventions"/>
    <w:p>
      <w:pPr>
        <w:pStyle w:val="Heading2"/>
      </w:pPr>
      <w:r>
        <w:t xml:space="preserve">Conventions</w:t>
      </w:r>
    </w:p>
    <w:p>
      <w:pPr>
        <w:numPr>
          <w:ilvl w:val="0"/>
          <w:numId w:val="1002"/>
        </w:numPr>
        <w:pStyle w:val="Compact"/>
      </w:pPr>
      <w:r>
        <w:t xml:space="preserve">One bullet per discrete action.</w:t>
      </w:r>
    </w:p>
    <w:p>
      <w:pPr>
        <w:numPr>
          <w:ilvl w:val="0"/>
          <w:numId w:val="1002"/>
        </w:numPr>
        <w:pStyle w:val="Compact"/>
      </w:pPr>
      <w:r>
        <w:t xml:space="preserve">Prefix with date (</w:t>
      </w:r>
      <w:r>
        <w:rPr>
          <w:rStyle w:val="VerbatimChar"/>
        </w:rPr>
        <w:t xml:space="preserve">2026-05-10 — TODO: …</w:t>
      </w:r>
      <w:r>
        <w:t xml:space="preserve">) if status matters.</w:t>
      </w:r>
    </w:p>
    <w:p>
      <w:pPr>
        <w:numPr>
          <w:ilvl w:val="0"/>
          <w:numId w:val="1002"/>
        </w:numPr>
        <w:pStyle w:val="Compact"/>
      </w:pPr>
      <w:r>
        <w:t xml:space="preserve">Keep notes off the printed/exported slide by removing the</w:t>
      </w:r>
      <w:r>
        <w:t xml:space="preserve"> </w:t>
      </w:r>
      <w:r>
        <w:rPr>
          <w:rStyle w:val="VerbatimChar"/>
        </w:rPr>
        <w:t xml:space="preserve">notes:</w:t>
      </w:r>
      <w:r>
        <w:t xml:space="preserve"> </w:t>
      </w:r>
      <w:r>
        <w:t xml:space="preserve">block before</w:t>
      </w:r>
      <w:r>
        <w:t xml:space="preserve"> </w:t>
      </w:r>
      <w:r>
        <w:t xml:space="preserve">publishing if needed (the renderer hides notes only when the field is empty).</w:t>
      </w:r>
    </w:p>
    <w:bookmarkEnd w:id="22"/>
    <w:bookmarkEnd w:id="2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2026-05-10T18:28:26Z</dcterms:created>
  <dcterms:modified xsi:type="dcterms:W3CDTF">2026-05-10T18:28:26Z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