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91010ceb98facc51ab529715b2faf8e1a5508a"/>
    <w:p>
      <w:pPr>
        <w:pStyle w:val="Heading1"/>
      </w:pPr>
      <w:r>
        <w:t xml:space="preserve">PR1 — W001 + W002 + W003 + W004: Colour-line model, layer hierarchy &amp; geometric tracing</w:t>
      </w:r>
    </w:p>
    <w:p>
      <w:pPr>
        <w:pStyle w:val="BlockText"/>
      </w:pPr>
      <w:r>
        <w:t xml:space="preserve">Paste this as the GitHub PR description.</w:t>
      </w:r>
      <w:r>
        <w:t xml:space="preserve"> </w:t>
      </w:r>
      <w:r>
        <w:rPr>
          <w:bCs/>
          <w:b/>
        </w:rPr>
        <w:t xml:space="preserve">Do not auto-merge</w:t>
      </w:r>
      <w:r>
        <w:t xml:space="preserve"> </w:t>
      </w:r>
      <w:r>
        <w:t xml:space="preserve">— open for engineering review only.</w:t>
      </w:r>
    </w:p>
    <w:p>
      <w:pPr>
        <w:pStyle w:val="FirstParagraph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wave/w001-w004-colour-line-layer-geometry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Base: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bCs/>
          <w:b/>
        </w:rPr>
        <w:t xml:space="preserve">Programme:</w:t>
      </w:r>
      <w:r>
        <w:t xml:space="preserve"> </w:t>
      </w:r>
      <w:r>
        <w:t xml:space="preserve">Mott MacDonald / SCK CEN — MYRRHA-MINERVA Phase 1 (QCELL / RFCELL P&amp;ID)</w:t>
      </w:r>
      <w:r>
        <w:t xml:space="preserve"> </w:t>
      </w:r>
      <w:r>
        <w:rPr>
          <w:bCs/>
          <w:b/>
        </w:rPr>
        <w:t xml:space="preserve">Toolchain:</w:t>
      </w:r>
      <w:r>
        <w:t xml:space="preserve"> </w:t>
      </w:r>
      <w:r>
        <w:t xml:space="preserve">Python stdlib +</w:t>
      </w:r>
      <w:r>
        <w:t xml:space="preserve"> </w:t>
      </w:r>
      <w:r>
        <w:rPr>
          <w:rStyle w:val="VerbatimChar"/>
        </w:rPr>
        <w:t xml:space="preserve">cairosvg</w:t>
      </w:r>
      <w:r>
        <w:t xml:space="preserve"> </w:t>
      </w:r>
      <w:r>
        <w:t xml:space="preserve">(PDF) +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 </w:t>
      </w:r>
      <w:r>
        <w:t xml:space="preserve">(Excel)</w:t>
      </w:r>
    </w:p>
    <w:p>
      <w:r>
        <w:pict>
          <v:rect style="width:0;height:1.5pt" o:hralign="center" o:hrstd="t" o:hr="t"/>
        </w:pict>
      </w:r>
    </w:p>
    <w:bookmarkStart w:id="20" w:name="what-this-pr-delivers"/>
    <w:p>
      <w:pPr>
        <w:pStyle w:val="Heading2"/>
      </w:pPr>
      <w:r>
        <w:t xml:space="preserve">What this PR delivers</w:t>
      </w:r>
    </w:p>
    <w:p>
      <w:pPr>
        <w:pStyle w:val="FirstParagraph"/>
      </w:pPr>
      <w:r>
        <w:t xml:space="preserve">A single consolidated foundation covering four waves: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W001</w:t>
      </w:r>
      <w:r>
        <w:t xml:space="preserve"> </w:t>
      </w:r>
      <w:r>
        <w:t xml:space="preserve">— source ingestion &amp; style extraction (inline-style colour precedence).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W002</w:t>
      </w:r>
      <w:r>
        <w:t xml:space="preserve"> </w:t>
      </w:r>
      <w:r>
        <w:t xml:space="preserve">— colour-line decomposition into canonical process lines + validation.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W003</w:t>
      </w:r>
      <w:r>
        <w:t xml:space="preserve"> </w:t>
      </w:r>
      <w:r>
        <w:t xml:space="preserve">— 13 top-level layers (21 named sub-layers) hierarchy, per-element assignment.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W004</w:t>
      </w:r>
      <w:r>
        <w:t xml:space="preserve"> </w:t>
      </w:r>
      <w:r>
        <w:t xml:space="preserve">— geometric arrow/flow tracing, element pairing, component catalog, PEMO SSOT.</w:t>
      </w:r>
    </w:p>
    <w:p>
      <w:pPr>
        <w:pStyle w:val="FirstParagraph"/>
      </w:pPr>
      <w:r>
        <w:t xml:space="preserve">We deliberately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open one PR per wave — the reviewer sees one coherent capability set.</w:t>
      </w:r>
    </w:p>
    <w:bookmarkEnd w:id="20"/>
    <w:bookmarkStart w:id="21" w:name="reproducibility-read-first"/>
    <w:p>
      <w:pPr>
        <w:pStyle w:val="Heading2"/>
      </w:pPr>
      <w:r>
        <w:t xml:space="preserve">Reproducibility (read first)</w:t>
      </w:r>
    </w:p>
    <w:p>
      <w:pPr>
        <w:pStyle w:val="FirstParagraph"/>
      </w:pPr>
      <w:r>
        <w:t xml:space="preserve">Derived outputs (</w:t>
      </w:r>
      <w:r>
        <w:rPr>
          <w:rStyle w:val="VerbatimChar"/>
        </w:rPr>
        <w:t xml:space="preserve">data/model/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data/pemo/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output_v6/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reports/*.xlsx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git-ignored</w:t>
      </w:r>
      <w:r>
        <w:t xml:space="preserve"> </w:t>
      </w:r>
      <w:r>
        <w:t xml:space="preserve">— regenerable, not source. From a fresh clone:</w:t>
      </w:r>
    </w:p>
    <w:p>
      <w:pPr>
        <w:pStyle w:val="SourceCode"/>
      </w:pPr>
      <w:r>
        <w:rPr>
          <w:rStyle w:val="ExtensionTok"/>
        </w:rPr>
        <w:t xml:space="preserve">./make.sh</w:t>
      </w:r>
      <w:r>
        <w:rPr>
          <w:rStyle w:val="NormalTok"/>
        </w:rPr>
        <w:t xml:space="preserve">                                                  </w:t>
      </w:r>
      <w:r>
        <w:rPr>
          <w:rStyle w:val="CommentTok"/>
        </w:rPr>
        <w:t xml:space="preserve"># regenerate ALL derived outputs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tests/test_integration_pipeline.py  </w:t>
      </w:r>
      <w:r>
        <w:rPr>
          <w:rStyle w:val="CommentTok"/>
        </w:rPr>
        <w:t xml:space="preserve"># source-only smoke test (no data needed)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tests/test_colour_model.py          </w:t>
      </w:r>
      <w:r>
        <w:rPr>
          <w:rStyle w:val="CommentTok"/>
        </w:rPr>
        <w:t xml:space="preserve"># W002 assertions (after make.sh)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tests/test_w003_w004.py             </w:t>
      </w:r>
      <w:r>
        <w:rPr>
          <w:rStyle w:val="CommentTok"/>
        </w:rPr>
        <w:t xml:space="preserve"># W003/W004 assertions (after make.sh)</w:t>
      </w:r>
    </w:p>
    <w:p>
      <w:pPr>
        <w:pStyle w:val="FirstParagraph"/>
      </w:pPr>
      <w:r>
        <w:rPr>
          <w:bCs/>
          <w:b/>
        </w:rPr>
        <w:t xml:space="preserve">Verified:</w:t>
      </w:r>
      <w:r>
        <w:t xml:space="preserve"> </w:t>
      </w:r>
      <w:r>
        <w:t xml:space="preserve">fresh clone →</w:t>
      </w:r>
      <w:r>
        <w:t xml:space="preserve"> </w:t>
      </w:r>
      <w:r>
        <w:rPr>
          <w:rStyle w:val="VerbatimChar"/>
        </w:rPr>
        <w:t xml:space="preserve">make.sh</w:t>
      </w:r>
      <w:r>
        <w:t xml:space="preserve"> </w:t>
      </w:r>
      <w:r>
        <w:t xml:space="preserve">exit 0 → 20/20 tests pass → headline numbers reproduce</w:t>
      </w:r>
      <w:r>
        <w:t xml:space="preserve"> </w:t>
      </w:r>
      <w:r>
        <w:t xml:space="preserve">exactly (297 components, 982→112 unmapped, pairing median 25.35px, layer sum 1888+533=2421).</w:t>
      </w:r>
    </w:p>
    <w:p>
      <w:pPr>
        <w:pStyle w:val="BodyText"/>
      </w:pPr>
      <w:r>
        <w:t xml:space="preserve">Tracked source of record: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segmentation/data/*.json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data/svg/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extracted/</w:t>
      </w:r>
      <w:r>
        <w:t xml:space="preserve"> </w:t>
      </w:r>
      <w:r>
        <w:t xml:space="preserve">(source reference XLSX/SVG),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5" w:name="X0de62b5be97d167d87a616afbca13d79abbcaa0"/>
    <w:p>
      <w:pPr>
        <w:pStyle w:val="Heading2"/>
      </w:pPr>
      <w:r>
        <w:t xml:space="preserve">Capability Matrix (honest</w:t>
      </w:r>
      <w:r>
        <w:t xml:space="preserve"> </w:t>
      </w:r>
      <w:r>
        <w:t xml:space="preserve">“</w:t>
      </w:r>
      <w:r>
        <w:t xml:space="preserve">Claim ≠ Complete</w:t>
      </w:r>
      <w:r>
        <w:t xml:space="preserve">”</w:t>
      </w:r>
      <w:r>
        <w:t xml:space="preserve"> </w:t>
      </w:r>
      <w:r>
        <w:t xml:space="preserve">accounting)</w:t>
      </w:r>
    </w:p>
    <w:bookmarkStart w:id="22" w:name="can-implemented-and-verified"/>
    <w:p>
      <w:pPr>
        <w:pStyle w:val="Heading3"/>
      </w:pPr>
      <w:r>
        <w:t xml:space="preserve">CAN — implemented and verified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 unmapped elements via legend reclassification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 → 112 (88.6 %)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CTM-resolved geometry extraction (bbox/centroid/shape)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geometry.py</w:t>
            </w:r>
            <w:r>
              <w:t xml:space="preserve">; 7 shape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 text →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Colour-classify text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533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 dots / heat-load triangles / arrows →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 / 100 / 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Pairing distance quality (honest caveat)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752 pairs, median 25px. 10% above 355px flagged low-confidence; max 1040px (known outlier, deferred to W005 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Standardize text to Consolas + 4 mm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533 nodes tiered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 13 top-level layers (21 named sub-layers) per 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layer_assignment.json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Layer sum-check balances exactly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1888 drawable + 533 text = 2421, no drops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layered SVG +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 1834/14, RFCELL 591/12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interactive layer-toggle atlas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layered_atlas_v6.html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 flow arrows + junctions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 arrows, 36 junctions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 vertical-letter nomenclature into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segments, 8 parents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 components to Excel +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 spec-change dots by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40, V 10, B 2, uncol. 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 scope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 (QM/QVB/vac/Jumper/QINFRA)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 handover diamonds (TP#NNN)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Emit PEMO YAML 1.2 SSOT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loops, 60 heat loads</w:t>
            </w:r>
          </w:p>
        </w:tc>
      </w:tr>
    </w:tbl>
    <w:bookmarkEnd w:id="22"/>
    <w:bookmarkStart w:id="23" w:name="cannot-blocked-by-source-data-toolchain"/>
    <w:p>
      <w:pPr>
        <w:pStyle w:val="Heading3"/>
      </w:pPr>
      <w:r>
        <w:t xml:space="preserve">CANNOT — blocked by source data / toolchain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the 112 residual magenta elements to a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legend swatch for that colour family in the source SVG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 true 3-D pipe routing / elevations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is 2-D schematic; no z-data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 the degenerate-transform coordinate outlier to a real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transform is mathematically degenerate; mitigated via viewBox bounds</w:t>
            </w:r>
          </w:p>
        </w:tc>
      </w:tr>
    </w:tbl>
    <w:bookmarkEnd w:id="23"/>
    <w:bookmarkStart w:id="24" w:name="X5c7e8bc7dc4c168732015e67a9d403f6359526a"/>
    <w:p>
      <w:pPr>
        <w:pStyle w:val="Heading3"/>
      </w:pPr>
      <w:r>
        <w:t xml:space="preserve">DID NOT / DEFERRED — possible, deferred to a later wave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target wave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XLSX tag/instrument register reconciliation + coverage delta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W005 (next, PR2)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 the U line (top-left, currently 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colour re-attribution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Bind the 77 floating arrows to source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nearest-line heuristic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Populate 04G_E_RED / manifold header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reserved placeholders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Interactive layered viewer (beyond static atlas)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W006, PR3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Cross-drawing reconciliation, temperature/pressure annotation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later waves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/ GitHub Actions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W007, PR3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review-checklist"/>
    <w:p>
      <w:pPr>
        <w:pStyle w:val="Heading2"/>
      </w:pPr>
      <w:r>
        <w:t xml:space="preserve">Review checklist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./make.sh</w:t>
      </w:r>
      <w:r>
        <w:t xml:space="preserve"> </w:t>
      </w:r>
      <w:r>
        <w:t xml:space="preserve">reproduces all derived outputs from a clean clone.</w:t>
      </w:r>
    </w:p>
    <w:p>
      <w:pPr>
        <w:numPr>
          <w:ilvl w:val="0"/>
          <w:numId w:val="1002"/>
        </w:numPr>
        <w:pStyle w:val="Compact"/>
      </w:pPr>
      <w:r>
        <w:t xml:space="preserve">☐ Integration smoke test passes (</w:t>
      </w:r>
      <w:r>
        <w:rPr>
          <w:rStyle w:val="VerbatimChar"/>
        </w:rPr>
        <w:t xml:space="preserve">tests/test_integration_pipeline.py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☐ 13-top-level / 21-named-sub-layer assignment matches engineering intent.</w:t>
      </w:r>
    </w:p>
    <w:p>
      <w:pPr>
        <w:numPr>
          <w:ilvl w:val="0"/>
          <w:numId w:val="1002"/>
        </w:numPr>
        <w:pStyle w:val="Compact"/>
      </w:pPr>
      <w:r>
        <w:t xml:space="preserve">☐ 297-component catalog sanity-checks against the drawing.</w:t>
      </w:r>
    </w:p>
    <w:p>
      <w:pPr>
        <w:numPr>
          <w:ilvl w:val="0"/>
          <w:numId w:val="1002"/>
        </w:numPr>
        <w:pStyle w:val="Compact"/>
      </w:pPr>
      <w:r>
        <w:t xml:space="preserve">☐ Handover-diamond list (22) and 5 scope boundaries confirmed.</w:t>
      </w:r>
    </w:p>
    <w:p>
      <w:pPr>
        <w:numPr>
          <w:ilvl w:val="0"/>
          <w:numId w:val="1002"/>
        </w:numPr>
        <w:pStyle w:val="Compact"/>
      </w:pPr>
      <w:r>
        <w:t xml:space="preserve">☐ Pairing low-confidence caveat (&gt;355px, max 1040px) understood and accepted.</w:t>
      </w:r>
    </w:p>
    <w:p>
      <w:pPr>
        <w:numPr>
          <w:ilvl w:val="0"/>
          <w:numId w:val="1002"/>
        </w:numPr>
        <w:pStyle w:val="Compact"/>
      </w:pPr>
      <w:r>
        <w:t xml:space="preserve">☐ Documented deferrals accepted (U line, 112 magenta, 77 floating arrows).</w:t>
      </w:r>
    </w:p>
    <w:bookmarkEnd w:id="26"/>
    <w:bookmarkStart w:id="27" w:name="not-merged-automatically"/>
    <w:p>
      <w:pPr>
        <w:pStyle w:val="Heading2"/>
      </w:pPr>
      <w:r>
        <w:t xml:space="preserve">Not merged automatically</w:t>
      </w:r>
    </w:p>
    <w:p>
      <w:pPr>
        <w:pStyle w:val="FirstParagraph"/>
      </w:pPr>
      <w:r>
        <w:t xml:space="preserve">Opened for review only. Merge after sign-off.</w:t>
      </w:r>
      <w:r>
        <w:t xml:space="preserve"> </w:t>
      </w:r>
      <w:r>
        <w:rPr>
          <w:bCs/>
          <w:b/>
        </w:rPr>
        <w:t xml:space="preserve">Next:</w:t>
      </w:r>
      <w:r>
        <w:t xml:space="preserve"> </w:t>
      </w:r>
      <w:r>
        <w:t xml:space="preserve">PR2 = W005 XLSX register reconciliation.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2026-06-04T15:58:57Z</dcterms:created>
  <dcterms:modified xsi:type="dcterms:W3CDTF">2026-06-04T15:58:57Z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