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2b363513909bf9a9167ea2ae8a1f9e9b50113c"/>
    <w:p>
      <w:pPr>
        <w:pStyle w:val="Heading1"/>
      </w:pPr>
      <w:r>
        <w:t xml:space="preserve">PR1 (combined) — W001–W005: Colour-line model, layer hierarchy, geometric tracing &amp; XLSX register reconciliation</w:t>
      </w:r>
    </w:p>
    <w:p>
      <w:pPr>
        <w:pStyle w:val="BlockText"/>
      </w:pPr>
      <w:r>
        <w:t xml:space="preserve">Paste this as the GitHub PR description.</w:t>
      </w:r>
      <w:r>
        <w:t xml:space="preserve"> </w:t>
      </w:r>
      <w:r>
        <w:rPr>
          <w:bCs/>
          <w:b/>
        </w:rPr>
        <w:t xml:space="preserve">Do not auto-merge</w:t>
      </w:r>
      <w:r>
        <w:t xml:space="preserve"> </w:t>
      </w:r>
      <w:r>
        <w:t xml:space="preserve">— open for engineering review only.</w:t>
      </w:r>
    </w:p>
    <w:p>
      <w:pPr>
        <w:pStyle w:val="FirstParagraph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pr1-w001-w005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Base: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bCs/>
          <w:b/>
        </w:rPr>
        <w:t xml:space="preserve">Programme:</w:t>
      </w:r>
      <w:r>
        <w:t xml:space="preserve"> </w:t>
      </w:r>
      <w:r>
        <w:t xml:space="preserve">Mott MacDonald / SCK CEN — MYRRHA-MINERVA Phase 1 (QCELL / RFCELL P&amp;ID)</w:t>
      </w:r>
      <w:r>
        <w:t xml:space="preserve"> </w:t>
      </w:r>
      <w:r>
        <w:rPr>
          <w:bCs/>
          <w:b/>
        </w:rPr>
        <w:t xml:space="preserve">Toolchain:</w:t>
      </w:r>
      <w:r>
        <w:t xml:space="preserve"> </w:t>
      </w:r>
      <w:r>
        <w:t xml:space="preserve">Python stdlib +</w:t>
      </w:r>
      <w:r>
        <w:t xml:space="preserve"> </w:t>
      </w:r>
      <w:r>
        <w:rPr>
          <w:rStyle w:val="VerbatimChar"/>
        </w:rPr>
        <w:t xml:space="preserve">cairosvg</w:t>
      </w:r>
      <w:r>
        <w:t xml:space="preserve"> </w:t>
      </w:r>
      <w:r>
        <w:t xml:space="preserve">(PDF) +</w:t>
      </w:r>
      <w:r>
        <w:t xml:space="preserve"> </w:t>
      </w:r>
      <w:r>
        <w:rPr>
          <w:rStyle w:val="VerbatimChar"/>
        </w:rPr>
        <w:t xml:space="preserve">openpyxl</w:t>
      </w:r>
      <w:r>
        <w:t xml:space="preserve"> </w:t>
      </w:r>
      <w:r>
        <w:t xml:space="preserve">(Excel) +</w:t>
      </w:r>
      <w:r>
        <w:t xml:space="preserve"> </w:t>
      </w:r>
      <w:r>
        <w:rPr>
          <w:rStyle w:val="VerbatimChar"/>
        </w:rPr>
        <w:t xml:space="preserve">PyYAML</w:t>
      </w:r>
    </w:p>
    <w:p>
      <w:r>
        <w:pict>
          <v:rect style="width:0;height:1.5pt" o:hralign="center" o:hrstd="t" o:hr="t"/>
        </w:pict>
      </w:r>
    </w:p>
    <w:bookmarkStart w:id="20" w:name="what-this-pr-delivers"/>
    <w:p>
      <w:pPr>
        <w:pStyle w:val="Heading2"/>
      </w:pPr>
      <w:r>
        <w:t xml:space="preserve">What this PR delivers</w:t>
      </w:r>
    </w:p>
    <w:p>
      <w:pPr>
        <w:pStyle w:val="FirstParagraph"/>
      </w:pPr>
      <w:r>
        <w:t xml:space="preserve">A single consolidated foundation covering five waves: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W001</w:t>
      </w:r>
      <w:r>
        <w:t xml:space="preserve"> </w:t>
      </w:r>
      <w:r>
        <w:t xml:space="preserve">— source ingestion &amp; style extraction (inline-style colour precedence).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W002</w:t>
      </w:r>
      <w:r>
        <w:t xml:space="preserve"> </w:t>
      </w:r>
      <w:r>
        <w:t xml:space="preserve">— colour-line decomposition into canonical process lines + validation.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W003</w:t>
      </w:r>
      <w:r>
        <w:t xml:space="preserve"> </w:t>
      </w:r>
      <w:r>
        <w:t xml:space="preserve">— 13 top-level layers (21 named sub-layers) hierarchy, per-element assignment.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W004</w:t>
      </w:r>
      <w:r>
        <w:t xml:space="preserve"> </w:t>
      </w:r>
      <w:r>
        <w:t xml:space="preserve">— geometric arrow/flow tracing, element pairing, component catalog (297), PEMO SSOT.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W005</w:t>
      </w:r>
      <w:r>
        <w:t xml:space="preserve"> </w:t>
      </w:r>
      <w:r>
        <w:t xml:space="preserve">— XLSX</w:t>
      </w:r>
      <w:r>
        <w:t xml:space="preserve"> </w:t>
      </w:r>
      <w:r>
        <w:rPr>
          <w:bCs/>
          <w:b/>
        </w:rPr>
        <w:t xml:space="preserve">tag &amp; instrument register reconciliation</w:t>
      </w:r>
      <w:r>
        <w:t xml:space="preserve">: cross-reference the 141 as-drawn</w:t>
      </w:r>
      <w:r>
        <w:t xml:space="preserve"> </w:t>
      </w:r>
      <w:r>
        <w:t xml:space="preserve">catalog tags against the 97-tag design nomenclature register; per-TYPE coverage delta; ISA-class</w:t>
      </w:r>
      <w:r>
        <w:t xml:space="preserve"> </w:t>
      </w:r>
      <w:r>
        <w:t xml:space="preserve">cross-validation; documented PPT re-allocations; merged canonical register (SSOT).</w:t>
      </w:r>
    </w:p>
    <w:p>
      <w:pPr>
        <w:pStyle w:val="FirstParagraph"/>
      </w:pPr>
      <w:r>
        <w:t xml:space="preserve">We deliberately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open one PR per wave — the reviewer sees one coherent capability set.</w:t>
      </w:r>
    </w:p>
    <w:bookmarkEnd w:id="20"/>
    <w:bookmarkStart w:id="21" w:name="reproducibility-read-first"/>
    <w:p>
      <w:pPr>
        <w:pStyle w:val="Heading2"/>
      </w:pPr>
      <w:r>
        <w:t xml:space="preserve">Reproducibility (read first)</w:t>
      </w:r>
    </w:p>
    <w:p>
      <w:pPr>
        <w:pStyle w:val="FirstParagraph"/>
      </w:pPr>
      <w:r>
        <w:t xml:space="preserve">Derived outputs (</w:t>
      </w:r>
      <w:r>
        <w:rPr>
          <w:rStyle w:val="VerbatimChar"/>
        </w:rPr>
        <w:t xml:space="preserve">data/model/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data/pemo/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data/excel/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output_v6/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reports/*.xlsx</w:t>
      </w:r>
      <w:r>
        <w:t xml:space="preserve">) are</w:t>
      </w:r>
      <w:r>
        <w:t xml:space="preserve"> </w:t>
      </w:r>
      <w:r>
        <w:rPr>
          <w:bCs/>
          <w:b/>
        </w:rPr>
        <w:t xml:space="preserve">git-ignored</w:t>
      </w:r>
      <w:r>
        <w:t xml:space="preserve"> </w:t>
      </w:r>
      <w:r>
        <w:t xml:space="preserve">— regenerable, not source. From a fresh clone:</w:t>
      </w:r>
    </w:p>
    <w:p>
      <w:pPr>
        <w:pStyle w:val="SourceCode"/>
      </w:pPr>
      <w:r>
        <w:rPr>
          <w:rStyle w:val="ExtensionTok"/>
        </w:rPr>
        <w:t xml:space="preserve">./make.sh</w:t>
      </w:r>
      <w:r>
        <w:rPr>
          <w:rStyle w:val="NormalTok"/>
        </w:rPr>
        <w:t xml:space="preserve">                                                   </w:t>
      </w:r>
      <w:r>
        <w:rPr>
          <w:rStyle w:val="CommentTok"/>
        </w:rPr>
        <w:t xml:space="preserve"># regenerate ALL derived outputs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tests/test_integration_pipeline.py   </w:t>
      </w:r>
      <w:r>
        <w:rPr>
          <w:rStyle w:val="CommentTok"/>
        </w:rPr>
        <w:t xml:space="preserve"># source-only smoke test (no data needed)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tests/test_colour_model.py           </w:t>
      </w:r>
      <w:r>
        <w:rPr>
          <w:rStyle w:val="CommentTok"/>
        </w:rPr>
        <w:t xml:space="preserve"># W002 assertions (after make.sh)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tests/test_w003_w004.py              </w:t>
      </w:r>
      <w:r>
        <w:rPr>
          <w:rStyle w:val="CommentTok"/>
        </w:rPr>
        <w:t xml:space="preserve"># W003/W004 assertions (after make.sh)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tests/test_w005_reconciliation.py    </w:t>
      </w:r>
      <w:r>
        <w:rPr>
          <w:rStyle w:val="CommentTok"/>
        </w:rPr>
        <w:t xml:space="preserve"># W005 assertions (after make.sh)</w:t>
      </w:r>
    </w:p>
    <w:p>
      <w:pPr>
        <w:pStyle w:val="FirstParagraph"/>
      </w:pPr>
      <w:r>
        <w:rPr>
          <w:bCs/>
          <w:b/>
        </w:rPr>
        <w:t xml:space="preserve">Verified:</w:t>
      </w:r>
      <w:r>
        <w:t xml:space="preserve"> </w:t>
      </w:r>
      <w:r>
        <w:t xml:space="preserve">fresh</w:t>
      </w:r>
      <w:r>
        <w:t xml:space="preserve"> </w:t>
      </w:r>
      <w:r>
        <w:rPr>
          <w:rStyle w:val="VerbatimChar"/>
        </w:rPr>
        <w:t xml:space="preserve">make.sh</w:t>
      </w:r>
      <w:r>
        <w:t xml:space="preserve"> </w:t>
      </w:r>
      <w:r>
        <w:t xml:space="preserve">exit 0 →</w:t>
      </w:r>
      <w:r>
        <w:t xml:space="preserve"> </w:t>
      </w:r>
      <w:r>
        <w:rPr>
          <w:bCs/>
          <w:b/>
        </w:rPr>
        <w:t xml:space="preserve">31/31 tests pass</w:t>
      </w:r>
      <w:r>
        <w:t xml:space="preserve"> </w:t>
      </w:r>
      <w:r>
        <w:t xml:space="preserve">→ headline numbers reproduce exactly</w:t>
      </w:r>
      <w:r>
        <w:t xml:space="preserve"> </w:t>
      </w:r>
      <w:r>
        <w:t xml:space="preserve">(297 components, 982→112 unmapped, pairing median 25.35 px; W005: 97 design tags vs 141 as-drawn).</w:t>
      </w:r>
    </w:p>
    <w:p>
      <w:pPr>
        <w:pStyle w:val="BodyText"/>
      </w:pPr>
      <w:r>
        <w:t xml:space="preserve">Tracked source of record: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segmentation/data/*.json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data/svg/</w:t>
      </w:r>
      <w:r>
        <w:t xml:space="preserve">,</w:t>
      </w:r>
      <w:r>
        <w:t xml:space="preserve"> </w:t>
      </w:r>
      <w:r>
        <w:rPr>
          <w:rStyle w:val="VerbatimChar"/>
        </w:rPr>
        <w:t xml:space="preserve">extracted/</w:t>
      </w:r>
      <w:r>
        <w:t xml:space="preserve"> </w:t>
      </w:r>
      <w:r>
        <w:t xml:space="preserve">(source reference XLSX/SVG),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reports/*.md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reports/W005_coverage_statistics.json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reports/wave_status.json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Xbd1ada662c1392bbe9b55b8eea68afd661838fa"/>
    <w:p>
      <w:pPr>
        <w:pStyle w:val="Heading2"/>
      </w:pPr>
      <w:r>
        <w:t xml:space="preserve">W005 headline finding (honest, not a defect)</w:t>
      </w:r>
    </w:p>
    <w:p>
      <w:pPr>
        <w:pStyle w:val="FirstParagraph"/>
      </w:pPr>
      <w:r>
        <w:t xml:space="preserve">The official</w:t>
      </w:r>
      <w:r>
        <w:t xml:space="preserve"> </w:t>
      </w:r>
      <w:r>
        <w:rPr>
          <w:bCs/>
          <w:b/>
        </w:rPr>
        <w:t xml:space="preserve">design nomenclature register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as-drawn component catalog</w:t>
      </w:r>
      <w:r>
        <w:t xml:space="preserve"> </w:t>
      </w:r>
      <w:r>
        <w:t xml:space="preserve">use</w:t>
      </w:r>
      <w:r>
        <w:t xml:space="preserve"> </w:t>
      </w:r>
      <w:r>
        <w:rPr>
          <w:bCs/>
          <w:b/>
        </w:rPr>
        <w:t xml:space="preserve">orthogonal tag-numbering schemes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Design register</w:t>
      </w:r>
      <w:r>
        <w:t xml:space="preserve"> </w:t>
      </w:r>
      <w:r>
        <w:t xml:space="preserve">— circuit-sequential (</w:t>
      </w:r>
      <w:r>
        <w:rPr>
          <w:rStyle w:val="VerbatimChar"/>
        </w:rPr>
        <w:t xml:space="preserve">CV001–004</w:t>
      </w:r>
      <w:r>
        <w:t xml:space="preserve">,</w:t>
      </w:r>
      <w:r>
        <w:t xml:space="preserve"> </w:t>
      </w:r>
      <w:r>
        <w:rPr>
          <w:rStyle w:val="VerbatimChar"/>
        </w:rPr>
        <w:t xml:space="preserve">CV100/101</w:t>
      </w:r>
      <w:r>
        <w:t xml:space="preserve">=40 K,</w:t>
      </w:r>
      <w:r>
        <w:t xml:space="preserve"> </w:t>
      </w:r>
      <w:r>
        <w:rPr>
          <w:rStyle w:val="VerbatimChar"/>
        </w:rPr>
        <w:t xml:space="preserve">TT100–111</w:t>
      </w:r>
      <w:r>
        <w:t xml:space="preserve">=Pt/40 K…).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As-drawn catalog</w:t>
      </w:r>
      <w:r>
        <w:t xml:space="preserve"> </w:t>
      </w:r>
      <w:r>
        <w:t xml:space="preserve">— SVG-instance numbering (</w:t>
      </w:r>
      <w:r>
        <w:rPr>
          <w:rStyle w:val="VerbatimChar"/>
        </w:rPr>
        <w:t xml:space="preserve">CV560</w:t>
      </w:r>
      <w:r>
        <w:t xml:space="preserve">,</w:t>
      </w:r>
      <w:r>
        <w:t xml:space="preserve"> </w:t>
      </w:r>
      <w:r>
        <w:rPr>
          <w:rStyle w:val="VerbatimChar"/>
        </w:rPr>
        <w:t xml:space="preserve">TT514</w:t>
      </w:r>
      <w:r>
        <w:t xml:space="preserve">,</w:t>
      </w:r>
      <w:r>
        <w:t xml:space="preserve"> </w:t>
      </w:r>
      <w:r>
        <w:rPr>
          <w:rStyle w:val="VerbatimChar"/>
        </w:rPr>
        <w:t xml:space="preserve">EH514</w:t>
      </w:r>
      <w:r>
        <w:t xml:space="preserve">,</w:t>
      </w:r>
      <w:r>
        <w:t xml:space="preserve"> </w:t>
      </w:r>
      <w:r>
        <w:rPr>
          <w:rStyle w:val="VerbatimChar"/>
        </w:rPr>
        <w:t xml:space="preserve">LS-021</w:t>
      </w:r>
      <w:r>
        <w:t xml:space="preserve">,</w:t>
      </w:r>
      <w:r>
        <w:t xml:space="preserve"> </w:t>
      </w:r>
      <w:r>
        <w:rPr>
          <w:rStyle w:val="VerbatimChar"/>
        </w:rPr>
        <w:t xml:space="preserve">HV503</w:t>
      </w:r>
      <w:r>
        <w:t xml:space="preserve">…).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Exact normalized tag overlap = 0 (0.0 %).</w:t>
      </w:r>
      <w:r>
        <w:t xml:space="preserve"> </w:t>
      </w:r>
      <w:r>
        <w:t xml:space="preserve">This is a genuine engineering finding — the two</w:t>
      </w:r>
      <w:r>
        <w:t xml:space="preserve"> </w:t>
      </w:r>
      <w:r>
        <w:t xml:space="preserve">registers were authored against different conventions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pipeline defect. No matches are</w:t>
      </w:r>
      <w:r>
        <w:t xml:space="preserve"> </w:t>
      </w:r>
      <w:r>
        <w:t xml:space="preserve">fabricated. Coverage is therefore measured</w:t>
      </w:r>
      <w:r>
        <w:t xml:space="preserve"> </w:t>
      </w:r>
      <w:r>
        <w:rPr>
          <w:bCs/>
          <w:b/>
        </w:rPr>
        <w:t xml:space="preserve">per instrument TYPE</w:t>
      </w:r>
      <w:r>
        <w:t xml:space="preserve">, and the #1 recommended next</w:t>
      </w:r>
      <w:r>
        <w:t xml:space="preserve"> </w:t>
      </w:r>
      <w:r>
        <w:t xml:space="preserve">deliverable is a</w:t>
      </w:r>
      <w:r>
        <w:t xml:space="preserve"> </w:t>
      </w:r>
      <w:r>
        <w:rPr>
          <w:bCs/>
          <w:b/>
        </w:rPr>
        <w:t xml:space="preserve">design ↔ as-drawn cross-map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W005 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(Excel) tags /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 /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As-drawn real tags /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 /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As-drawn template placeholders (flagged non-reconcilable)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(</w:t>
            </w:r>
            <w:r>
              <w:rPr>
                <w:rStyle w:val="VerbatimChar"/>
              </w:rPr>
              <w:t xml:space="preserve">TTxxx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EHx11</w:t>
            </w:r>
            <w:r>
              <w:t xml:space="preserve">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tag matches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 present in 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CV, EH, HV, PT, 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 missing from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FT, FV, HX, J, LE, LI, PV, RD, SV, V (10)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As-drawn-only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LS (25 limit switches)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Documented PPT re-allocations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(TT535→PZ coldest, TT525→PZ warmest)</w:t>
            </w:r>
          </w:p>
        </w:tc>
      </w:tr>
    </w:tbl>
    <w:p>
      <w:pPr>
        <w:pStyle w:val="BodyText"/>
      </w:pPr>
      <w:r>
        <w:t xml:space="preserve">W005 outputs:</w:t>
      </w:r>
      <w:r>
        <w:t xml:space="preserve"> </w:t>
      </w:r>
      <w:r>
        <w:rPr>
          <w:rStyle w:val="VerbatimChar"/>
        </w:rPr>
        <w:t xml:space="preserve">reports/W005_XLSX_RECONCILIATION_REPORT.md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reports/W005_validation_report.md</w:t>
      </w:r>
      <w:r>
        <w:t xml:space="preserve"> </w:t>
      </w:r>
      <w:r>
        <w:t xml:space="preserve">(✅ PASS),</w:t>
      </w:r>
      <w:r>
        <w:t xml:space="preserve"> </w:t>
      </w:r>
      <w:r>
        <w:rPr>
          <w:rStyle w:val="VerbatimChar"/>
        </w:rPr>
        <w:t xml:space="preserve">reports/W005_coverage_statistics.json</w:t>
      </w:r>
      <w:r>
        <w:t xml:space="preserve">, and (regenerable)</w:t>
      </w:r>
      <w:r>
        <w:t xml:space="preserve"> </w:t>
      </w:r>
      <w:r>
        <w:rPr>
          <w:rStyle w:val="VerbatimChar"/>
        </w:rPr>
        <w:t xml:space="preserve">data/excel/*.json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data/excel/canonical_register_v1.yaml</w:t>
      </w:r>
      <w:r>
        <w:t xml:space="preserve"> </w:t>
      </w:r>
      <w:r>
        <w:t xml:space="preserve">(238-entry merged SSOT),</w:t>
      </w:r>
      <w:r>
        <w:t xml:space="preserve"> </w:t>
      </w:r>
      <w:r>
        <w:rPr>
          <w:rStyle w:val="VerbatimChar"/>
        </w:rPr>
        <w:t xml:space="preserve">reports/COMPONENT_CATALOG_v2.xlsx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6" w:name="X0de62b5be97d167d87a616afbca13d79abbcaa0"/>
    <w:p>
      <w:pPr>
        <w:pStyle w:val="Heading2"/>
      </w:pPr>
      <w:r>
        <w:t xml:space="preserve">Capability Matrix (honest</w:t>
      </w:r>
      <w:r>
        <w:t xml:space="preserve"> </w:t>
      </w:r>
      <w:r>
        <w:t xml:space="preserve">“</w:t>
      </w:r>
      <w:r>
        <w:t xml:space="preserve">Claim ≠ Complete</w:t>
      </w:r>
      <w:r>
        <w:t xml:space="preserve">”</w:t>
      </w:r>
      <w:r>
        <w:t xml:space="preserve"> </w:t>
      </w:r>
      <w:r>
        <w:t xml:space="preserve">accounting)</w:t>
      </w:r>
    </w:p>
    <w:bookmarkStart w:id="23" w:name="can-implemented-and-verified"/>
    <w:p>
      <w:pPr>
        <w:pStyle w:val="Heading3"/>
      </w:pPr>
      <w:r>
        <w:t xml:space="preserve">CAN — implemented and verified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Reduce unmapped elements via legend reclassification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982 → 112 (88.6 %)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CTM-resolved geometry extraction (bbox/centroid/shape)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geometry.py</w:t>
            </w:r>
            <w:r>
              <w:t xml:space="preserve">; 7 shape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Pair text → components / dots / triangles / arrows →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315 / 205 / 100 / 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Colour-classify text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533 nodes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 13 top-level layers (21 named sub-layers)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layer_assignment.json</w:t>
            </w:r>
            <w:r>
              <w:t xml:space="preserve">; sum-check 2421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layered SVG + PDF; interactive layer-toggle atlas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QCELL 1834/14, RFCELL 591/12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Trace flow arrows + junctions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 arrows, 36 junctions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 components to Excel +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297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Emit PEMO YAML 1.2 SSOT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 loops, 60 heat 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Reconcile as-drawn catalog vs design nomenclature XLSX (W005)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 vs 141; per-TYPE 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Detect orthogonal tag schemes (reported honestly, not forced)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exact overlap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 10 design TYPES missing from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FT/FV/HX/J/LE/LI/PV/RD/SV/V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Flag RFCELL template placeholders non-reconcilable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placeholders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Apply documented PPT instrument re-allocations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TT535→PZ, TT525→PZ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Emit canonical merged instrument register (SSOT)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canonical_register_v1.yaml</w:t>
            </w:r>
            <w:r>
              <w:t xml:space="preserve">, 238 entries</w:t>
            </w:r>
          </w:p>
        </w:tc>
      </w:tr>
    </w:tbl>
    <w:bookmarkEnd w:id="23"/>
    <w:bookmarkStart w:id="24" w:name="cannot-blocked-by-source-data-toolchain"/>
    <w:p>
      <w:pPr>
        <w:pStyle w:val="Heading3"/>
      </w:pPr>
      <w:r>
        <w:t xml:space="preserve">CANNOT — blocked by source data / toolchain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the 112 residual magenta elements to a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legend swatch for that colour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 true 3-D pipe routing / elevations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is 2-D schematic; no z-data</w:t>
            </w:r>
          </w:p>
        </w:tc>
      </w:tr>
    </w:tbl>
    <w:bookmarkEnd w:id="24"/>
    <w:bookmarkStart w:id="25" w:name="X5c7e8bc7dc4c168732015e67a9d403f6359526a"/>
    <w:p>
      <w:pPr>
        <w:pStyle w:val="Heading3"/>
      </w:pPr>
      <w:r>
        <w:t xml:space="preserve">DID NOT / DEFERRED — possible, deferred to a later wave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/ target wave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 ↔ as-drawn tag cross-map (keyed on TYPE+circuit+position)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W005 quantified the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 as-drawn catalog to the 10 missing design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Exhaustive parse of the 65 MB QSYS instrumentation PPT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cost; 2 cited re-allocations encoded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Cross-drawing identity reconciliation (QCELL↔RFCELL)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Wave W006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/ GitHub Actions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DEFERRED — only PLANNED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repo-hygiene-note"/>
    <w:p>
      <w:pPr>
        <w:pStyle w:val="Heading2"/>
      </w:pPr>
      <w:r>
        <w:t xml:space="preserve">Repo hygiene note</w:t>
      </w:r>
    </w:p>
    <w:p>
      <w:pPr>
        <w:pStyle w:val="FirstParagraph"/>
      </w:pPr>
      <w:r>
        <w:t xml:space="preserve">Auto-generated office-doc preview artifacts (</w:t>
      </w:r>
      <w:r>
        <w:rPr>
          <w:rStyle w:val="VerbatimChar"/>
        </w:rPr>
        <w:t xml:space="preserve">*_preview/</w:t>
      </w:r>
      <w:r>
        <w:t xml:space="preserve"> </w:t>
      </w:r>
      <w:r>
        <w:t xml:space="preserve">HTML renderings of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/</w:t>
      </w:r>
      <w:r>
        <w:rPr>
          <w:rStyle w:val="VerbatimChar"/>
        </w:rPr>
        <w:t xml:space="preserve">.pptx</w:t>
      </w:r>
      <w:r>
        <w:t xml:space="preserve">)</w:t>
      </w:r>
      <w:r>
        <w:t xml:space="preserve"> </w:t>
      </w:r>
      <w:r>
        <w:t xml:space="preserve">were</w:t>
      </w:r>
      <w:r>
        <w:t xml:space="preserve"> </w:t>
      </w:r>
      <w:r>
        <w:rPr>
          <w:bCs/>
          <w:b/>
        </w:rPr>
        <w:t xml:space="preserve">removed from the entire git history</w:t>
      </w:r>
      <w:r>
        <w:t xml:space="preserve"> </w:t>
      </w:r>
      <w:r>
        <w:t xml:space="preserve">and added 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They were derived</w:t>
      </w:r>
      <w:r>
        <w:t xml:space="preserve"> </w:t>
      </w:r>
      <w:r>
        <w:t xml:space="preserve">artifacts and one contained a base64 media blob that tripped GitHub secret-scanning push</w:t>
      </w:r>
      <w:r>
        <w:t xml:space="preserve"> </w:t>
      </w:r>
      <w:r>
        <w:t xml:space="preserve">protection (false positive — embedded PPTX media, not a live credential). History was rewritten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git filter-repo</w:t>
      </w:r>
      <w:r>
        <w:t xml:space="preserve"> </w:t>
      </w:r>
      <w:r>
        <w:t xml:space="preserve">prior to first push; commit SHAs differ from the local pre-push state.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2026-06-05T06:52:09Z</dcterms:created>
  <dcterms:modified xsi:type="dcterms:W3CDTF">2026-06-05T06:52:09Z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