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3528c48222dde1d96ebbe0b1b0b208fc87b93d"/>
    <w:p>
      <w:pPr>
        <w:pStyle w:val="Heading1"/>
      </w:pPr>
      <w:r>
        <w:t xml:space="preserve">W006 — Interactive UI Plan (Design ↔ As-Drawn Cross-Map Viewer)</w:t>
      </w:r>
    </w:p>
    <w:p>
      <w:pPr>
        <w:pStyle w:val="FirstParagraph"/>
      </w:pPr>
      <w:r>
        <w:rPr>
          <w:bCs/>
          <w:b/>
        </w:rPr>
        <w:t xml:space="preserve">Wave:</w:t>
      </w:r>
      <w:r>
        <w:t xml:space="preserve"> </w:t>
      </w:r>
      <w:r>
        <w:t xml:space="preserve">W006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Option A (cross-map engine)</w:t>
      </w:r>
      <w:r>
        <w:t xml:space="preserve"> </w:t>
      </w:r>
      <w:r>
        <w:rPr>
          <w:bCs/>
          <w:b/>
        </w:rPr>
        <w:t xml:space="preserve">delivered</w:t>
      </w:r>
      <w:r>
        <w:t xml:space="preserve">; Option B (interactive UI)</w:t>
      </w:r>
      <w:r>
        <w:t xml:space="preserve"> </w:t>
      </w:r>
      <w:r>
        <w:rPr>
          <w:bCs/>
          <w:b/>
        </w:rPr>
        <w:t xml:space="preserve">scaffolded</w:t>
      </w:r>
      <w:r>
        <w:t xml:space="preserve"> </w:t>
      </w:r>
      <w:r>
        <w:t xml:space="preserve">— this document is the full plan to finish it.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MINERVA QCELL/RFCELL P&amp;ID workstream</w:t>
      </w:r>
      <w:r>
        <w:t xml:space="preserve"> </w:t>
      </w:r>
      <w:r>
        <w:rPr>
          <w:bCs/>
          <w:b/>
        </w:rPr>
        <w:t xml:space="preserve">Honesty mandate:</w:t>
      </w:r>
      <w:r>
        <w:t xml:space="preserve"> </w:t>
      </w:r>
      <w:r>
        <w:t xml:space="preserve">every UI affordance must show</w:t>
      </w:r>
      <w:r>
        <w:t xml:space="preserve"> </w:t>
      </w:r>
      <w:r>
        <w:rPr>
          <w:iCs/>
          <w:i/>
        </w:rPr>
        <w:t xml:space="preserve">provenance and confidence</w:t>
      </w:r>
      <w:r>
        <w:t xml:space="preserve">, never imply a match is engineering-confirmed when it is heuristic.</w:t>
      </w:r>
    </w:p>
    <w:p>
      <w:r>
        <w:pict>
          <v:rect style="width:0;height:1.5pt" o:hralign="center" o:hrstd="t" o:hr="t"/>
        </w:pict>
      </w:r>
    </w:p>
    <w:bookmarkStart w:id="20" w:name="why-this-exists"/>
    <w:p>
      <w:pPr>
        <w:pStyle w:val="Heading2"/>
      </w:pPr>
      <w:r>
        <w:t xml:space="preserve">1. Why this exists</w:t>
      </w:r>
    </w:p>
    <w:p>
      <w:pPr>
        <w:pStyle w:val="FirstParagraph"/>
      </w:pPr>
      <w:r>
        <w:t xml:space="preserve">W005 established that the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register (circuit-sequential tags such as</w:t>
      </w:r>
      <w:r>
        <w:t xml:space="preserve"> </w:t>
      </w:r>
      <w:r>
        <w:rPr>
          <w:rStyle w:val="VerbatimChar"/>
        </w:rPr>
        <w:t xml:space="preserve">CV001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TT100</w:t>
      </w:r>
      <w:r>
        <w:t xml:space="preserve">) and the</w:t>
      </w:r>
      <w:r>
        <w:t xml:space="preserve"> </w:t>
      </w:r>
      <w:r>
        <w:rPr>
          <w:bCs/>
          <w:b/>
        </w:rPr>
        <w:t xml:space="preserve">as-drawn</w:t>
      </w:r>
      <w:r>
        <w:t xml:space="preserve"> </w:t>
      </w:r>
      <w:r>
        <w:t xml:space="preserve">register (SVG-instance tags such as</w:t>
      </w:r>
      <w:r>
        <w:t xml:space="preserve"> </w:t>
      </w:r>
      <w:r>
        <w:rPr>
          <w:rStyle w:val="VerbatimChar"/>
        </w:rPr>
        <w:t xml:space="preserve">CV560</w:t>
      </w:r>
      <w:r>
        <w:t xml:space="preserve">,</w:t>
      </w:r>
      <w:r>
        <w:t xml:space="preserve"> </w:t>
      </w:r>
      <w:r>
        <w:rPr>
          <w:rStyle w:val="VerbatimChar"/>
        </w:rPr>
        <w:t xml:space="preserve">TT514</w:t>
      </w:r>
      <w:r>
        <w:t xml:space="preserve">) are</w:t>
      </w:r>
      <w:r>
        <w:t xml:space="preserve"> </w:t>
      </w:r>
      <w:r>
        <w:rPr>
          <w:bCs/>
          <w:b/>
        </w:rPr>
        <w:t xml:space="preserve">orthogonal numbering systems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0 % exact tag overlap</w:t>
      </w:r>
      <w:r>
        <w:t xml:space="preserve">. W006 Option A turned that finding into a functional, confidence-scored bidirectional cross-map (</w:t>
      </w:r>
      <w:r>
        <w:rPr>
          <w:rStyle w:val="VerbatimChar"/>
        </w:rPr>
        <w:t xml:space="preserve">build_w006_crossmap.py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97 design tags · 141 as-drawn real tags</w:t>
      </w:r>
    </w:p>
    <w:p>
      <w:pPr>
        <w:numPr>
          <w:ilvl w:val="0"/>
          <w:numId w:val="1001"/>
        </w:numPr>
        <w:pStyle w:val="Compact"/>
      </w:pPr>
      <w:r>
        <w:t xml:space="preserve">43 mapped (44.3 %): 0 HIGH · 39 MEDIUM (0.75) · 4 LOW (0.45)</w:t>
      </w:r>
    </w:p>
    <w:p>
      <w:pPr>
        <w:numPr>
          <w:ilvl w:val="0"/>
          <w:numId w:val="1001"/>
        </w:numPr>
        <w:pStyle w:val="Compact"/>
      </w:pPr>
      <w:r>
        <w:t xml:space="preserve">54 unmapped design · 98 unclaimed as-drawn</w:t>
      </w:r>
    </w:p>
    <w:p>
      <w:pPr>
        <w:pStyle w:val="FirstParagraph"/>
      </w:pPr>
      <w:r>
        <w:t xml:space="preserve">These results are inherently</w:t>
      </w:r>
      <w:r>
        <w:t xml:space="preserve"> </w:t>
      </w:r>
      <w:r>
        <w:rPr>
          <w:bCs/>
          <w:b/>
        </w:rPr>
        <w:t xml:space="preserve">review-oriented</w:t>
      </w:r>
      <w:r>
        <w:t xml:space="preserve">: a human engineer must triage MEDIUM/LOW pairs and confirm/reject them. A static JSON/Markdown report is not an efficient triage surface. The interactive viewer is the triage surface.</w:t>
      </w:r>
    </w:p>
    <w:p>
      <w:r>
        <w:pict>
          <v:rect style="width:0;height:1.5pt" o:hralign="center" o:hrstd="t" o:hr="t"/>
        </w:pict>
      </w:r>
    </w:p>
    <w:bookmarkEnd w:id="20"/>
    <w:bookmarkStart w:id="21" w:name="X0f75515b9cd8fea803c04de3b35a191a370bc1a"/>
    <w:p>
      <w:pPr>
        <w:pStyle w:val="Heading2"/>
      </w:pPr>
      <w:r>
        <w:t xml:space="preserve">2. What the scaffold already delivers (</w:t>
      </w:r>
      <w:r>
        <w:rPr>
          <w:rStyle w:val="VerbatimChar"/>
        </w:rPr>
        <w:t xml:space="preserve">build_viewer.py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publish/interactive_viewer.html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annotated atlas SVG (QCELL)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</w:t>
            </w:r>
            <w:r>
              <w:t xml:space="preserve"> </w:t>
            </w:r>
            <w:r>
              <w:rPr>
                <w:rStyle w:val="VerbatimChar"/>
              </w:rPr>
              <w:t xml:space="preserve">output_v6/QCELL/*_13layers.svg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21-layer toggle checkboxes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</w:t>
            </w:r>
            <w:r>
              <w:t xml:space="preserve"> </w:t>
            </w:r>
            <w:r>
              <w:rPr>
                <w:rStyle w:val="VerbatimChar"/>
              </w:rPr>
              <w:t xml:space="preserve">lyr-NN</w:t>
            </w:r>
            <w:r>
              <w:t xml:space="preserve"> </w:t>
            </w:r>
            <w:r>
              <w:t xml:space="preserve">CSS class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 +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= zoom, drag = pan (transform on</w:t>
            </w:r>
            <w:r>
              <w:t xml:space="preserve"> </w:t>
            </w:r>
            <w:r>
              <w:rPr>
                <w:rStyle w:val="VerbatimChar"/>
              </w:rPr>
              <w:t xml:space="preserve">#svgpan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by tag (design OR as-drawn)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+ scrolls to the matching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Confidence-coloured cross-map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HIGH/MEDIUM/LOW/unmapped pills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popup (reasons, tier, confidence)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placeholder; per-pair</w:t>
            </w:r>
            <w:r>
              <w:t xml:space="preserve"> </w:t>
            </w:r>
            <w:r>
              <w:rPr>
                <w:rStyle w:val="VerbatimChar"/>
              </w:rPr>
              <w:t xml:space="preserve">reasons[]</w:t>
            </w:r>
            <w:r>
              <w:t xml:space="preserve"> </w:t>
            </w:r>
            <w:r>
              <w:t xml:space="preserve">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Self-contained single HTML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JS/CSS deps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Explicitly NOT done yet</w:t>
      </w:r>
      <w:r>
        <w:t xml:space="preserve"> </w:t>
      </w:r>
      <w:r>
        <w:t xml:space="preserve">(this is a scaffold): SVG element hit-test/highlight, side-by-side comparison overlay, image/PDF export, deep-link/URL state, validation write-back.</w:t>
      </w:r>
    </w:p>
    <w:p>
      <w:r>
        <w:pict>
          <v:rect style="width:0;height:1.5pt" o:hralign="center" o:hrstd="t" o:hr="t"/>
        </w:pict>
      </w:r>
    </w:p>
    <w:bookmarkEnd w:id="21"/>
    <w:bookmarkStart w:id="27" w:name="full-feature-plan-phased"/>
    <w:p>
      <w:pPr>
        <w:pStyle w:val="Heading2"/>
      </w:pPr>
      <w:r>
        <w:t xml:space="preserve">3. Full feature plan (phased)</w:t>
      </w:r>
    </w:p>
    <w:bookmarkStart w:id="22" w:name="X821c1c780b26e1e6fdc90d143669597dafc8aa3"/>
    <w:p>
      <w:pPr>
        <w:pStyle w:val="Heading3"/>
      </w:pPr>
      <w:r>
        <w:t xml:space="preserve">Phase UI-1 — Tag ↔ SVG element linking</w:t>
      </w:r>
      <w:r>
        <w:t xml:space="preserve"> </w:t>
      </w:r>
      <w:r>
        <w:rPr>
          <w:iCs/>
          <w:i/>
        </w:rPr>
        <w:t xml:space="preserve">(highest value)</w:t>
      </w:r>
    </w:p>
    <w:p>
      <w:pPr>
        <w:numPr>
          <w:ilvl w:val="0"/>
          <w:numId w:val="1002"/>
        </w:numPr>
        <w:pStyle w:val="Compact"/>
      </w:pPr>
      <w:r>
        <w:t xml:space="preserve">Annotate each drawable instrument bubble in the atlas SVG with</w:t>
      </w:r>
      <w:r>
        <w:t xml:space="preserve"> </w:t>
      </w:r>
      <w:r>
        <w:rPr>
          <w:rStyle w:val="VerbatimChar"/>
        </w:rPr>
        <w:t xml:space="preserve">data-tag="CV560"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build_atlas_v6</w:t>
      </w:r>
      <w:r>
        <w:t xml:space="preserve"> </w:t>
      </w:r>
      <w:r>
        <w:t xml:space="preserve">(the catalog already carries</w:t>
      </w:r>
      <w:r>
        <w:t xml:space="preserve"> </w:t>
      </w:r>
      <w:r>
        <w:rPr>
          <w:rStyle w:val="VerbatimChar"/>
        </w:rPr>
        <w:t xml:space="preserve">x/y/sheet</w:t>
      </w:r>
      <w:r>
        <w:t xml:space="preserve"> </w:t>
      </w:r>
      <w:r>
        <w:t xml:space="preserve">per instance).</w:t>
      </w:r>
    </w:p>
    <w:p>
      <w:pPr>
        <w:numPr>
          <w:ilvl w:val="0"/>
          <w:numId w:val="1002"/>
        </w:numPr>
        <w:pStyle w:val="Compact"/>
      </w:pPr>
      <w:r>
        <w:t xml:space="preserve">On row click / search hit: highlight the SVG element (outline + flash) and center it in the viewport.</w:t>
      </w:r>
    </w:p>
    <w:p>
      <w:pPr>
        <w:numPr>
          <w:ilvl w:val="0"/>
          <w:numId w:val="1002"/>
        </w:numPr>
        <w:pStyle w:val="Compact"/>
      </w:pPr>
      <w:r>
        <w:t xml:space="preserve">On SVG element click: select the corresponding table row and open the metadata popup.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clicking</w:t>
      </w:r>
      <w:r>
        <w:t xml:space="preserve"> </w:t>
      </w:r>
      <w:r>
        <w:rPr>
          <w:rStyle w:val="VerbatimChar"/>
        </w:rPr>
        <w:t xml:space="preserve">TT100</w:t>
      </w:r>
      <w:r>
        <w:t xml:space="preserve"> </w:t>
      </w:r>
      <w:r>
        <w:t xml:space="preserve">in the table outlines</w:t>
      </w:r>
      <w:r>
        <w:t xml:space="preserve"> </w:t>
      </w:r>
      <w:r>
        <w:rPr>
          <w:rStyle w:val="VerbatimChar"/>
        </w:rPr>
        <w:t xml:space="preserve">TT514</w:t>
      </w:r>
      <w:r>
        <w:t xml:space="preserve">’s bubble on the drawing within one viewport pan.</w:t>
      </w:r>
    </w:p>
    <w:bookmarkEnd w:id="22"/>
    <w:bookmarkStart w:id="23" w:name="phase-ui-2-confidence-triage-workflow"/>
    <w:p>
      <w:pPr>
        <w:pStyle w:val="Heading3"/>
      </w:pPr>
      <w:r>
        <w:t xml:space="preserve">Phase UI-2 — Confidence triage workflow</w:t>
      </w:r>
    </w:p>
    <w:p>
      <w:pPr>
        <w:numPr>
          <w:ilvl w:val="0"/>
          <w:numId w:val="1003"/>
        </w:numPr>
        <w:pStyle w:val="Compact"/>
      </w:pPr>
      <w:r>
        <w:t xml:space="preserve">Add per-row</w:t>
      </w:r>
      <w:r>
        <w:t xml:space="preserve"> </w:t>
      </w:r>
      <w:r>
        <w:rPr>
          <w:bCs/>
          <w:b/>
        </w:rPr>
        <w:t xml:space="preserve">Confirm / Reject / Defer</w:t>
      </w:r>
      <w:r>
        <w:t xml:space="preserve"> </w:t>
      </w:r>
      <w:r>
        <w:t xml:space="preserve">controls that write to a local triage file (</w:t>
      </w:r>
      <w:r>
        <w:rPr>
          <w:rStyle w:val="VerbatimChar"/>
        </w:rPr>
        <w:t xml:space="preserve">data/crossmap/triage_decisions.json</w:t>
      </w:r>
      <w:r>
        <w:t xml:space="preserve">, gitignored) —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mutation of the heuristic crossmap itself.</w:t>
      </w:r>
    </w:p>
    <w:p>
      <w:pPr>
        <w:numPr>
          <w:ilvl w:val="0"/>
          <w:numId w:val="1003"/>
        </w:numPr>
        <w:pStyle w:val="Compact"/>
      </w:pPr>
      <w:r>
        <w:t xml:space="preserve">Confirmed pairs become</w:t>
      </w:r>
      <w:r>
        <w:t xml:space="preserve"> </w:t>
      </w:r>
      <w:r>
        <w:rPr>
          <w:bCs/>
          <w:b/>
        </w:rPr>
        <w:t xml:space="preserve">KNOWN_SEEDS</w:t>
      </w:r>
      <w:r>
        <w:t xml:space="preserve"> </w:t>
      </w:r>
      <w:r>
        <w:t xml:space="preserve">fed back into</w:t>
      </w:r>
      <w:r>
        <w:t xml:space="preserve"> </w:t>
      </w:r>
      <w:r>
        <w:rPr>
          <w:rStyle w:val="VerbatimChar"/>
        </w:rPr>
        <w:t xml:space="preserve">build_w006_crossmap.py</w:t>
      </w:r>
      <w:r>
        <w:t xml:space="preserve"> </w:t>
      </w:r>
      <w:r>
        <w:t xml:space="preserve">on the next run, which legitimately promotes corroborated pairs to HIGH (the engine already supports a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dict, currently empty by design).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confirming a MEDIUM pair and re-running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 </w:t>
      </w:r>
      <w:r>
        <w:t xml:space="preserve">promotes it to HIGH with reason</w:t>
      </w:r>
      <w:r>
        <w:t xml:space="preserve"> </w:t>
      </w:r>
      <w:r>
        <w:rPr>
          <w:rStyle w:val="VerbatimChar"/>
        </w:rPr>
        <w:t xml:space="preserve">KNOWN_SEED</w:t>
      </w:r>
      <w:r>
        <w:t xml:space="preserve">.</w:t>
      </w:r>
    </w:p>
    <w:bookmarkEnd w:id="23"/>
    <w:bookmarkStart w:id="24" w:name="phase-ui-3-comparison-filtering"/>
    <w:p>
      <w:pPr>
        <w:pStyle w:val="Heading3"/>
      </w:pPr>
      <w:r>
        <w:t xml:space="preserve">Phase UI-3 — Comparison &amp; filtering</w:t>
      </w:r>
    </w:p>
    <w:p>
      <w:pPr>
        <w:numPr>
          <w:ilvl w:val="0"/>
          <w:numId w:val="1004"/>
        </w:numPr>
        <w:pStyle w:val="Compact"/>
      </w:pPr>
      <w:r>
        <w:t xml:space="preserve">Filter chips: tier (HIGH/MEDIUM/LOW/unmapped), type (CV/TT/PT/…), circuit band (40K/4.5K/2K/WATER/VACUUM/ROOM), sheet (QCELL/RFCELL).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Unmapped only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 </w:t>
      </w:r>
      <w:r>
        <w:t xml:space="preserve">quick views.</w:t>
      </w:r>
    </w:p>
    <w:p>
      <w:pPr>
        <w:numPr>
          <w:ilvl w:val="0"/>
          <w:numId w:val="1004"/>
        </w:numPr>
        <w:pStyle w:val="Compact"/>
      </w:pPr>
      <w:r>
        <w:t xml:space="preserve">Optional side-by-side: design schematic vs as-drawn, synced highlight.</w:t>
      </w:r>
    </w:p>
    <w:bookmarkEnd w:id="24"/>
    <w:bookmarkStart w:id="25" w:name="phase-ui-4-export-sharing"/>
    <w:p>
      <w:pPr>
        <w:pStyle w:val="Heading3"/>
      </w:pPr>
      <w:r>
        <w:t xml:space="preserve">Phase UI-4 — Export &amp; sharing</w:t>
      </w:r>
    </w:p>
    <w:p>
      <w:pPr>
        <w:numPr>
          <w:ilvl w:val="0"/>
          <w:numId w:val="1005"/>
        </w:numPr>
        <w:pStyle w:val="Compact"/>
      </w:pPr>
      <w:r>
        <w:t xml:space="preserve">Export current view to PNG (client-side canvas) and the filtered table to CSV.</w:t>
      </w:r>
    </w:p>
    <w:p>
      <w:pPr>
        <w:numPr>
          <w:ilvl w:val="0"/>
          <w:numId w:val="1005"/>
        </w:numPr>
        <w:pStyle w:val="Compact"/>
      </w:pPr>
      <w:r>
        <w:t xml:space="preserve">Deep-link state in URL hash (</w:t>
      </w:r>
      <w:r>
        <w:rPr>
          <w:rStyle w:val="VerbatimChar"/>
        </w:rPr>
        <w:t xml:space="preserve">#tag=CV001&amp;tier=MEDIUM</w:t>
      </w:r>
      <w:r>
        <w:t xml:space="preserve">) so a reviewer can share an exact view.</w:t>
      </w:r>
    </w:p>
    <w:bookmarkEnd w:id="25"/>
    <w:bookmarkStart w:id="26" w:name="phase-ui-5-rfcell-multi-sheet"/>
    <w:p>
      <w:pPr>
        <w:pStyle w:val="Heading3"/>
      </w:pPr>
      <w:r>
        <w:t xml:space="preserve">Phase UI-5 — RFCELL + multi-sheet</w:t>
      </w:r>
    </w:p>
    <w:p>
      <w:pPr>
        <w:numPr>
          <w:ilvl w:val="0"/>
          <w:numId w:val="1006"/>
        </w:numPr>
        <w:pStyle w:val="Compact"/>
      </w:pPr>
      <w:r>
        <w:t xml:space="preserve">Currently embeds QCELL only. Add a sheet selector and load RFCELL atlas SVG.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rchitecture-decisions"/>
    <w:p>
      <w:pPr>
        <w:pStyle w:val="Heading2"/>
      </w:pPr>
      <w:r>
        <w:t xml:space="preserve">4. Architecture decisions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Stdlib-first / no build step.</w:t>
      </w:r>
      <w:r>
        <w:t xml:space="preserve"> </w:t>
      </w:r>
      <w:r>
        <w:t xml:space="preserve">The viewer is generated by a Python module (</w:t>
      </w:r>
      <w:r>
        <w:rPr>
          <w:rStyle w:val="VerbatimChar"/>
        </w:rPr>
        <w:t xml:space="preserve">build_viewer.py</w:t>
      </w:r>
      <w:r>
        <w:t xml:space="preserve">) and emitted as a single static HTML file. No npm, no bundler — consistent with the repo’s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reproducibility discipline.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flows one way for heuristics.</w:t>
      </w:r>
      <w:r>
        <w:t xml:space="preserve"> </w:t>
      </w:r>
      <w:r>
        <w:t xml:space="preserve">The viewer never edits the heuristic crossmap. Human decisions land in a separate triage file and only influence future runs via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. This preserves the honesty invariant enforced by</w:t>
      </w:r>
      <w:r>
        <w:t xml:space="preserve"> </w:t>
      </w:r>
      <w:r>
        <w:rPr>
          <w:rStyle w:val="VerbatimChar"/>
        </w:rPr>
        <w:t xml:space="preserve">test_no_fabricated_high_without_corroboration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Provenance always visible.</w:t>
      </w:r>
      <w:r>
        <w:t xml:space="preserve"> </w:t>
      </w:r>
      <w:r>
        <w:t xml:space="preserve">Every mapped pair shows its</w:t>
      </w:r>
      <w:r>
        <w:t xml:space="preserve"> </w:t>
      </w:r>
      <w:r>
        <w:rPr>
          <w:rStyle w:val="VerbatimChar"/>
        </w:rPr>
        <w:t xml:space="preserve">reasons[]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TYPE_MATCH; CIRCUIT_MATCH(40K); ORDER_MATCH(#0/3)</w:t>
      </w:r>
      <w:r>
        <w:t xml:space="preserve">) so a reviewer sees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heuristic proposed it.</w:t>
      </w:r>
    </w:p>
    <w:p>
      <w:r>
        <w:pict>
          <v:rect style="width:0;height:1.5pt" o:hralign="center" o:hrstd="t" o:hr="t"/>
        </w:pict>
      </w:r>
    </w:p>
    <w:bookmarkEnd w:id="28"/>
    <w:bookmarkStart w:id="29" w:name="Xbb6dcc36f08911cf305a2e300f1370f6c50502e"/>
    <w:p>
      <w:pPr>
        <w:pStyle w:val="Heading2"/>
      </w:pPr>
      <w:r>
        <w:t xml:space="preserve">5. Testing plan (standalone runners, no pytest)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tests/test_w006_viewer.py</w:t>
      </w:r>
      <w:r>
        <w:t xml:space="preserve"> </w:t>
      </w:r>
      <w:r>
        <w:t xml:space="preserve">(future): assert the generated HTML contains one table row per crossmap entry, that every</w:t>
      </w:r>
      <w:r>
        <w:t xml:space="preserve"> </w:t>
      </w:r>
      <w:r>
        <w:rPr>
          <w:rStyle w:val="VerbatimChar"/>
        </w:rPr>
        <w:t xml:space="preserve">data-tag</w:t>
      </w:r>
      <w:r>
        <w:t xml:space="preserve"> </w:t>
      </w:r>
      <w:r>
        <w:t xml:space="preserve">resolves to a catalog instance, and that tier pill colours match the confidence tier. Guard with</w:t>
      </w:r>
      <w:r>
        <w:t xml:space="preserve"> </w:t>
      </w:r>
      <w:r>
        <w:rPr>
          <w:rStyle w:val="VerbatimChar"/>
        </w:rPr>
        <w:t xml:space="preserve">_data_available()</w:t>
      </w:r>
      <w:r>
        <w:t xml:space="preserve"> </w:t>
      </w:r>
      <w:r>
        <w:t xml:space="preserve">like the other suites.</w:t>
      </w:r>
    </w:p>
    <w:p>
      <w:pPr>
        <w:numPr>
          <w:ilvl w:val="0"/>
          <w:numId w:val="1008"/>
        </w:numPr>
        <w:pStyle w:val="Compact"/>
      </w:pPr>
      <w:r>
        <w:t xml:space="preserve">Golden-file check: snapshot the row count + mapped count and assert against</w:t>
      </w:r>
      <w:r>
        <w:t xml:space="preserve"> </w:t>
      </w:r>
      <w:r>
        <w:rPr>
          <w:rStyle w:val="VerbatimChar"/>
        </w:rPr>
        <w:t xml:space="preserve">reports/W006_crossmap_statistics.json</w:t>
      </w:r>
      <w:r>
        <w:t xml:space="preserve"> </w:t>
      </w:r>
      <w:r>
        <w:t xml:space="preserve">(cross-pollinates the golden-file pattern from the test suite).</w:t>
      </w:r>
    </w:p>
    <w:p>
      <w:r>
        <w:pict>
          <v:rect style="width:0;height:1.5pt" o:hralign="center" o:hrstd="t" o:hr="t"/>
        </w:pict>
      </w:r>
    </w:p>
    <w:bookmarkEnd w:id="29"/>
    <w:bookmarkStart w:id="30" w:name="X7b05c1214e672ceba6ac552355635517ccb48d2"/>
    <w:p>
      <w:pPr>
        <w:pStyle w:val="Heading2"/>
      </w:pPr>
      <w:r>
        <w:t xml:space="preserve">6. Definition of done (for the full UI, beyond scaffold)</w:t>
      </w:r>
    </w:p>
    <w:p>
      <w:pPr>
        <w:numPr>
          <w:ilvl w:val="0"/>
          <w:numId w:val="1009"/>
        </w:numPr>
        <w:pStyle w:val="Compact"/>
      </w:pPr>
      <w:r>
        <w:t xml:space="preserve">Tag ↔ SVG element linking works both directions (UI-1).</w:t>
      </w:r>
    </w:p>
    <w:p>
      <w:pPr>
        <w:numPr>
          <w:ilvl w:val="0"/>
          <w:numId w:val="1009"/>
        </w:numPr>
        <w:pStyle w:val="Compact"/>
      </w:pPr>
      <w:r>
        <w:t xml:space="preserve">Triage decisions persist and feed</w:t>
      </w:r>
      <w:r>
        <w:t xml:space="preserve"> </w:t>
      </w:r>
      <w:r>
        <w:rPr>
          <w:rStyle w:val="VerbatimChar"/>
        </w:rPr>
        <w:t xml:space="preserve">KNOWN_SEEDS</w:t>
      </w:r>
      <w:r>
        <w:t xml:space="preserve"> </w:t>
      </w:r>
      <w:r>
        <w:t xml:space="preserve">(UI-2).</w:t>
      </w:r>
    </w:p>
    <w:p>
      <w:pPr>
        <w:numPr>
          <w:ilvl w:val="0"/>
          <w:numId w:val="1009"/>
        </w:numPr>
        <w:pStyle w:val="Compact"/>
      </w:pPr>
      <w:r>
        <w:t xml:space="preserve">Filters + unmapped view (UI-3).</w:t>
      </w:r>
    </w:p>
    <w:p>
      <w:pPr>
        <w:numPr>
          <w:ilvl w:val="0"/>
          <w:numId w:val="1009"/>
        </w:numPr>
        <w:pStyle w:val="Compact"/>
      </w:pPr>
      <w:r>
        <w:t xml:space="preserve">PNG/CSV export + deep links (UI-4).</w:t>
      </w:r>
    </w:p>
    <w:p>
      <w:pPr>
        <w:numPr>
          <w:ilvl w:val="0"/>
          <w:numId w:val="1009"/>
        </w:numPr>
        <w:pStyle w:val="Compact"/>
      </w:pPr>
      <w:r>
        <w:t xml:space="preserve">RFCELL sheet support (UI-5).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tests/test_w006_viewer.py</w:t>
      </w:r>
      <w:r>
        <w:t xml:space="preserve"> </w:t>
      </w:r>
      <w:r>
        <w:t xml:space="preserve">green; viewer step in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 </w:t>
      </w:r>
      <w:r>
        <w:t xml:space="preserve">exits 0.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2026-06-06T08:09:42Z</dcterms:created>
  <dcterms:modified xsi:type="dcterms:W3CDTF">2026-06-06T08:09:42Z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