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5bbff1d3bfc2f5b633d338e226d88ddca673fea"/>
    <w:p>
      <w:pPr>
        <w:pStyle w:val="Heading1"/>
      </w:pPr>
      <w:r>
        <w:t xml:space="preserve">MINERVA CryoCell P&amp;ID — Default Views Documentation (v4)</w:t>
      </w:r>
    </w:p>
    <w:p>
      <w:pPr>
        <w:pStyle w:val="FirstParagraph"/>
      </w:pPr>
      <w:r>
        <w:rPr>
          <w:bCs/>
          <w:b/>
        </w:rPr>
        <w:t xml:space="preserve">Project:</w:t>
      </w:r>
      <w:r>
        <w:t xml:space="preserve"> </w:t>
      </w:r>
      <w:r>
        <w:t xml:space="preserve">MINERVA CryoCell — SCK CEN (MYRRHA/MINERVA Phase 1)</w:t>
      </w:r>
      <w:r>
        <w:t xml:space="preserve"> </w:t>
      </w:r>
      <w:r>
        <w:rPr>
          <w:bCs/>
          <w:b/>
        </w:rPr>
        <w:t xml:space="preserve">Consultant:</w:t>
      </w:r>
      <w:r>
        <w:t xml:space="preserve"> </w:t>
      </w:r>
      <w:r>
        <w:t xml:space="preserve">Mott MacDonald, Bristol UK — MMD 411066</w:t>
      </w:r>
      <w:r>
        <w:t xml:space="preserve"> </w:t>
      </w:r>
      <w:r>
        <w:rPr>
          <w:bCs/>
          <w:b/>
        </w:rPr>
        <w:t xml:space="preserve">Standard:</w:t>
      </w:r>
      <w:r>
        <w:t xml:space="preserve"> </w:t>
      </w:r>
      <w:r>
        <w:t xml:space="preserve">SCK CEN AD_01.16 · Status: S2 — FOR ACCEPTANCE · RESTRICTED</w:t>
      </w:r>
    </w:p>
    <w:p>
      <w:r>
        <w:pict>
          <v:rect style="width:0;height:1.5pt" o:hralign="center" o:hrstd="t" o:hr="t"/>
        </w:pict>
      </w:r>
    </w:p>
    <w:bookmarkStart w:id="20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The v4 P&amp;ID set is</w:t>
      </w:r>
      <w:r>
        <w:t xml:space="preserve"> </w:t>
      </w:r>
      <w:r>
        <w:rPr>
          <w:bCs/>
          <w:b/>
        </w:rPr>
        <w:t xml:space="preserve">layered</w:t>
      </w:r>
      <w:r>
        <w:t xml:space="preserve">. Each SVG contains 24 named layers (groups), and the</w:t>
      </w:r>
      <w:r>
        <w:t xml:space="preserve"> </w:t>
      </w:r>
      <w:r>
        <w:t xml:space="preserve">drawing ships with five pre-defined</w:t>
      </w:r>
      <w:r>
        <w:t xml:space="preserve"> </w:t>
      </w:r>
      <w:r>
        <w:rPr>
          <w:bCs/>
          <w:b/>
        </w:rPr>
        <w:t xml:space="preserve">default views</w:t>
      </w:r>
      <w:r>
        <w:t xml:space="preserve"> </w:t>
      </w:r>
      <w:r>
        <w:t xml:space="preserve">— curated layer combinations for</w:t>
      </w:r>
      <w:r>
        <w:t xml:space="preserve"> </w:t>
      </w:r>
      <w:r>
        <w:t xml:space="preserve">different audiences and tasks. The view definitions are embedded in each SVG’s</w:t>
      </w:r>
      <w:r>
        <w:t xml:space="preserve"> </w:t>
      </w:r>
      <w:r>
        <w:rPr>
          <w:rStyle w:val="VerbatimChar"/>
        </w:rPr>
        <w:t xml:space="preserve">&lt;metadata&gt;</w:t>
      </w:r>
      <w:r>
        <w:t xml:space="preserve"> </w:t>
      </w:r>
      <w:r>
        <w:t xml:space="preserve">block and mirrored in the interactive viewer (</w:t>
      </w:r>
      <w:r>
        <w:rPr>
          <w:rStyle w:val="VerbatimChar"/>
        </w:rPr>
        <w:t xml:space="preserve">js/pid-viewer.js → VIEWS</w:t>
      </w:r>
      <w:r>
        <w:t xml:space="preserve">),</w:t>
      </w:r>
      <w:r>
        <w:t xml:space="preserve"> </w:t>
      </w:r>
      <w:r>
        <w:t xml:space="preserve">so the same presets are available whether you open the SVG directly or use the HTML</w:t>
      </w:r>
      <w:r>
        <w:t xml:space="preserve"> </w:t>
      </w:r>
      <w:r>
        <w:t xml:space="preserve">viewer.</w:t>
      </w:r>
    </w:p>
    <w:p>
      <w:r>
        <w:pict>
          <v:rect style="width:0;height:1.5pt" o:hralign="center" o:hrstd="t" o:hr="t"/>
        </w:pict>
      </w:r>
    </w:p>
    <w:bookmarkEnd w:id="20"/>
    <w:bookmarkStart w:id="21" w:name="the-24-layers-draw-order-bottom-top"/>
    <w:p>
      <w:pPr>
        <w:pStyle w:val="Heading2"/>
      </w:pPr>
      <w:r>
        <w:t xml:space="preserve">2. The 24 Layers (draw order, bottom → top)</w:t>
      </w:r>
    </w:p>
    <w:p>
      <w:pPr>
        <w:pStyle w:val="FirstParagraph"/>
      </w:pPr>
      <w:r>
        <w:t xml:space="preserve">Layers draw in list order — the first entry is the bottom of the stack. Tag layer</w:t>
      </w:r>
      <w:r>
        <w:t xml:space="preserve"> </w:t>
      </w:r>
      <w:r>
        <w:rPr>
          <w:rStyle w:val="VerbatimChar"/>
        </w:rPr>
        <w:t xml:space="preserve">12_Tags</w:t>
      </w:r>
      <w:r>
        <w:t xml:space="preserve"> </w:t>
      </w:r>
      <w:r>
        <w:t xml:space="preserve">and overlays are placed late so they render on top of pipes and equipment.</w:t>
      </w:r>
    </w:p>
    <w:p>
      <w:pPr>
        <w:pStyle w:val="BodyText"/>
      </w:pPr>
      <w:r>
        <w:t xml:space="preserve">Grouped by function: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Frame / title:</w:t>
      </w:r>
      <w:r>
        <w:t xml:space="preserve"> </w:t>
      </w:r>
      <w:r>
        <w:rPr>
          <w:rStyle w:val="VerbatimChar"/>
        </w:rPr>
        <w:t xml:space="preserve">00_Frame</w:t>
      </w:r>
      <w:r>
        <w:t xml:space="preserve">,</w:t>
      </w:r>
      <w:r>
        <w:t xml:space="preserve"> </w:t>
      </w:r>
      <w:r>
        <w:rPr>
          <w:rStyle w:val="VerbatimChar"/>
        </w:rPr>
        <w:t xml:space="preserve">01_TitleBlock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Process pipes (by class):</w:t>
      </w:r>
      <w:r>
        <w:t xml:space="preserve"> </w:t>
      </w:r>
      <w:r>
        <w:rPr>
          <w:rStyle w:val="VerbatimChar"/>
        </w:rPr>
        <w:t xml:space="preserve">02_Pipe_D</w:t>
      </w:r>
      <w:r>
        <w:t xml:space="preserve">,</w:t>
      </w:r>
      <w:r>
        <w:t xml:space="preserve"> </w:t>
      </w:r>
      <w:r>
        <w:rPr>
          <w:rStyle w:val="VerbatimChar"/>
        </w:rPr>
        <w:t xml:space="preserve">02B_Pipe_E</w:t>
      </w:r>
      <w:r>
        <w:t xml:space="preserve">,</w:t>
      </w:r>
      <w:r>
        <w:t xml:space="preserve"> </w:t>
      </w:r>
      <w:r>
        <w:rPr>
          <w:rStyle w:val="VerbatimChar"/>
        </w:rPr>
        <w:t xml:space="preserve">03_Pipe_A</w:t>
      </w:r>
      <w:r>
        <w:t xml:space="preserve">,</w:t>
      </w:r>
      <w:r>
        <w:t xml:space="preserve"> </w:t>
      </w:r>
      <w:r>
        <w:rPr>
          <w:rStyle w:val="VerbatimChar"/>
        </w:rPr>
        <w:t xml:space="preserve">04_Pipe_B</w:t>
      </w:r>
      <w:r>
        <w:t xml:space="preserve">,</w:t>
      </w:r>
      <w:r>
        <w:t xml:space="preserve"> </w:t>
      </w:r>
      <w:r>
        <w:rPr>
          <w:rStyle w:val="VerbatimChar"/>
        </w:rPr>
        <w:t xml:space="preserve">04C_Pipe_WATER</w:t>
      </w:r>
      <w:r>
        <w:t xml:space="preserve">,</w:t>
      </w:r>
      <w:r>
        <w:t xml:space="preserve"> </w:t>
      </w:r>
      <w:r>
        <w:rPr>
          <w:rStyle w:val="VerbatimChar"/>
        </w:rPr>
        <w:t xml:space="preserve">05_Pipe_AIR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Equipment:</w:t>
      </w:r>
      <w:r>
        <w:t xml:space="preserve"> </w:t>
      </w:r>
      <w:r>
        <w:rPr>
          <w:rStyle w:val="VerbatimChar"/>
        </w:rPr>
        <w:t xml:space="preserve">06_Equipment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07_Vessels</w:t>
      </w:r>
      <w:r>
        <w:t xml:space="preserve">,</w:t>
      </w:r>
      <w:r>
        <w:t xml:space="preserve"> </w:t>
      </w:r>
      <w:r>
        <w:rPr>
          <w:rStyle w:val="VerbatimChar"/>
        </w:rPr>
        <w:t xml:space="preserve">08_Valves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Overlays:</w:t>
      </w:r>
      <w:r>
        <w:t xml:space="preserve"> </w:t>
      </w:r>
      <w:r>
        <w:rPr>
          <w:rStyle w:val="VerbatimChar"/>
        </w:rPr>
        <w:t xml:space="preserve">08B_Valves_HORIZONTAL_OVERLAY</w:t>
      </w:r>
      <w:r>
        <w:t xml:space="preserve"> </w:t>
      </w:r>
      <w:r>
        <w:rPr>
          <w:iCs/>
          <w:i/>
        </w:rPr>
        <w:t xml:space="preserve">(hidden by default)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Instruments / signals:</w:t>
      </w:r>
      <w:r>
        <w:t xml:space="preserve"> </w:t>
      </w:r>
      <w:r>
        <w:rPr>
          <w:rStyle w:val="VerbatimChar"/>
        </w:rPr>
        <w:t xml:space="preserve">09_Instruments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10_Signals</w:t>
      </w:r>
      <w:r>
        <w:t xml:space="preserve">,</w:t>
      </w:r>
      <w:r>
        <w:t xml:space="preserve"> </w:t>
      </w:r>
      <w:r>
        <w:rPr>
          <w:rStyle w:val="VerbatimChar"/>
        </w:rPr>
        <w:t xml:space="preserve">11_Controls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Annotation:</w:t>
      </w:r>
      <w:r>
        <w:t xml:space="preserve"> </w:t>
      </w:r>
      <w:r>
        <w:rPr>
          <w:rStyle w:val="VerbatimChar"/>
        </w:rPr>
        <w:t xml:space="preserve">12_Tags</w:t>
      </w:r>
      <w:r>
        <w:t xml:space="preserve">,</w:t>
      </w:r>
      <w:r>
        <w:t xml:space="preserve"> </w:t>
      </w:r>
      <w:r>
        <w:rPr>
          <w:rStyle w:val="VerbatimChar"/>
        </w:rPr>
        <w:t xml:space="preserve">13_LineNames</w:t>
      </w:r>
      <w:r>
        <w:t xml:space="preserve">,</w:t>
      </w:r>
      <w:r>
        <w:t xml:space="preserve"> </w:t>
      </w:r>
      <w:r>
        <w:rPr>
          <w:rStyle w:val="VerbatimChar"/>
        </w:rPr>
        <w:t xml:space="preserve">14_TerminalPoints</w:t>
      </w:r>
      <w:r>
        <w:t xml:space="preserve">,</w:t>
      </w:r>
      <w:r>
        <w:t xml:space="preserve"> </w:t>
      </w:r>
      <w:r>
        <w:rPr>
          <w:rStyle w:val="VerbatimChar"/>
        </w:rPr>
        <w:t xml:space="preserve">15_Dimensions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Reference:</w:t>
      </w:r>
      <w:r>
        <w:t xml:space="preserve"> </w:t>
      </w:r>
      <w:r>
        <w:rPr>
          <w:rStyle w:val="VerbatimChar"/>
        </w:rPr>
        <w:t xml:space="preserve">16_Legend</w:t>
      </w:r>
      <w:r>
        <w:t xml:space="preserve">,</w:t>
      </w:r>
      <w:r>
        <w:t xml:space="preserve"> </w:t>
      </w:r>
      <w:r>
        <w:rPr>
          <w:rStyle w:val="VerbatimChar"/>
        </w:rPr>
        <w:t xml:space="preserve">16_Legend_INTERACTIVE</w:t>
      </w:r>
      <w:r>
        <w:t xml:space="preserve"> </w:t>
      </w:r>
      <w:r>
        <w:rPr>
          <w:iCs/>
          <w:i/>
        </w:rPr>
        <w:t xml:space="preserve">(hidden)</w:t>
      </w:r>
      <w:r>
        <w:t xml:space="preserve">,</w:t>
      </w:r>
      <w:r>
        <w:t xml:space="preserve"> </w:t>
      </w:r>
      <w:r>
        <w:rPr>
          <w:rStyle w:val="VerbatimChar"/>
        </w:rPr>
        <w:t xml:space="preserve">17_Notes_TOGGLEABLE</w:t>
      </w:r>
      <w:r>
        <w:t xml:space="preserve"> </w:t>
      </w:r>
      <w:r>
        <w:rPr>
          <w:iCs/>
          <w:i/>
        </w:rPr>
        <w:t xml:space="preserve">(hidden)</w:t>
      </w:r>
      <w:r>
        <w:t xml:space="preserve">, plus revision/notes layers.</w:t>
      </w:r>
    </w:p>
    <w:p>
      <w:pPr>
        <w:pStyle w:val="FirstParagraph"/>
      </w:pPr>
      <w:r>
        <w:t xml:space="preserve">Three layers are</w:t>
      </w:r>
      <w:r>
        <w:t xml:space="preserve"> </w:t>
      </w:r>
      <w:r>
        <w:rPr>
          <w:bCs/>
          <w:b/>
        </w:rPr>
        <w:t xml:space="preserve">hidden by default</w:t>
      </w:r>
      <w:r>
        <w:t xml:space="preserve">:</w:t>
      </w:r>
      <w:r>
        <w:t xml:space="preserve"> </w:t>
      </w:r>
      <w:r>
        <w:rPr>
          <w:rStyle w:val="VerbatimChar"/>
        </w:rPr>
        <w:t xml:space="preserve">08B_Valves_HORIZONTAL_OVERLAY</w:t>
      </w:r>
      <w:r>
        <w:t xml:space="preserve">,</w:t>
      </w:r>
      <w:r>
        <w:t xml:space="preserve"> </w:t>
      </w:r>
      <w:r>
        <w:rPr>
          <w:rStyle w:val="VerbatimChar"/>
        </w:rPr>
        <w:t xml:space="preserve">16_Legend_INTERACTIVE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17_Notes_TOGGLEABLE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3" w:name="the-five-default-views"/>
    <w:p>
      <w:pPr>
        <w:pStyle w:val="Heading2"/>
      </w:pPr>
      <w:r>
        <w:t xml:space="preserve">3. The Five Default Views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873"/>
        <w:gridCol w:w="2911"/>
        <w:gridCol w:w="413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Audience / use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reference / acceptance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visible layers (everything except the 3 hidden-by-default).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 engineers — focus on fluid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Frame, title, all process-pipe classes, equipment, vessels, valves, line names, terminal points, legend. Hides most instrument/signal detail.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C&amp;I engineers — focus on instrumentation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Frame, title, equipment outlines, instruments, signals, controls, tags, legend. Pipes shown light for context.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overview / drawing 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Frame, title, primary process pipes, equipment, vessels, valves, tags, line names, terminal points, legend.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PRINT_MONO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Black-and-white plotting / AD_01.16 mono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process content in monochrome with inline line names and weight/dash differentiation; colour suppressed.</w:t>
            </w:r>
          </w:p>
        </w:tc>
      </w:tr>
    </w:tbl>
    <w:bookmarkStart w:id="22" w:name="view-details"/>
    <w:p>
      <w:pPr>
        <w:pStyle w:val="Heading3"/>
      </w:pPr>
      <w:r>
        <w:t xml:space="preserve">View details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FULL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vis = layer not in HIDDEN_BY_DEFAULT</w:t>
      </w:r>
      <w:r>
        <w:t xml:space="preserve">. The horizontal-valve overlay,</w:t>
      </w:r>
      <w:r>
        <w:t xml:space="preserve"> </w:t>
      </w:r>
      <w:r>
        <w:t xml:space="preserve">interactive legend and toggleable notes remain off until explicitly enabled.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PROCESS</w:t>
      </w:r>
      <w:r>
        <w:t xml:space="preserve"> </w:t>
      </w:r>
      <w:r>
        <w:t xml:space="preserve">— emphasises</w:t>
      </w:r>
      <w:r>
        <w:t xml:space="preserve"> </w:t>
      </w:r>
      <w:r>
        <w:rPr>
          <w:rStyle w:val="VerbatimChar"/>
        </w:rPr>
        <w:t xml:space="preserve">02*–05*</w:t>
      </w:r>
      <w:r>
        <w:t xml:space="preserve"> </w:t>
      </w:r>
      <w:r>
        <w:t xml:space="preserve">pipe classes,</w:t>
      </w:r>
      <w:r>
        <w:t xml:space="preserve"> </w:t>
      </w:r>
      <w:r>
        <w:rPr>
          <w:rStyle w:val="VerbatimChar"/>
        </w:rPr>
        <w:t xml:space="preserve">06/07/08</w:t>
      </w:r>
      <w:r>
        <w:t xml:space="preserve"> </w:t>
      </w:r>
      <w:r>
        <w:t xml:space="preserve">equipment &amp; valves,</w:t>
      </w:r>
      <w:r>
        <w:t xml:space="preserve"> </w:t>
      </w:r>
      <w:r>
        <w:rPr>
          <w:rStyle w:val="VerbatimChar"/>
        </w:rPr>
        <w:t xml:space="preserve">13_LineNames</w:t>
      </w:r>
      <w:r>
        <w:t xml:space="preserve">,</w:t>
      </w:r>
      <w:r>
        <w:t xml:space="preserve"> </w:t>
      </w:r>
      <w:r>
        <w:rPr>
          <w:rStyle w:val="VerbatimChar"/>
        </w:rPr>
        <w:t xml:space="preserve">14_TerminalPoints</w:t>
      </w:r>
      <w:r>
        <w:t xml:space="preserve">. Instrument layers (</w:t>
      </w:r>
      <w:r>
        <w:rPr>
          <w:rStyle w:val="VerbatimChar"/>
        </w:rPr>
        <w:t xml:space="preserve">09/10/11</w:t>
      </w:r>
      <w:r>
        <w:t xml:space="preserve">) are off.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CONTROL</w:t>
      </w:r>
      <w:r>
        <w:t xml:space="preserve"> </w:t>
      </w:r>
      <w:r>
        <w:t xml:space="preserve">— emphasises</w:t>
      </w:r>
      <w:r>
        <w:t xml:space="preserve"> </w:t>
      </w:r>
      <w:r>
        <w:rPr>
          <w:rStyle w:val="VerbatimChar"/>
        </w:rPr>
        <w:t xml:space="preserve">09_Instruments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10_Signals</w:t>
      </w:r>
      <w:r>
        <w:t xml:space="preserve">,</w:t>
      </w:r>
      <w:r>
        <w:t xml:space="preserve"> </w:t>
      </w:r>
      <w:r>
        <w:rPr>
          <w:rStyle w:val="VerbatimChar"/>
        </w:rPr>
        <w:t xml:space="preserve">11_Controls</w:t>
      </w:r>
      <w:r>
        <w:t xml:space="preserve">,</w:t>
      </w:r>
      <w:r>
        <w:t xml:space="preserve"> </w:t>
      </w:r>
      <w:r>
        <w:rPr>
          <w:rStyle w:val="VerbatimChar"/>
        </w:rPr>
        <w:t xml:space="preserve">12_Tags</w:t>
      </w:r>
      <w:r>
        <w:t xml:space="preserve">;</w:t>
      </w:r>
      <w:r>
        <w:t xml:space="preserve"> </w:t>
      </w:r>
      <w:r>
        <w:t xml:space="preserve">process pipes kept visible but visually subordinate for context.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MAIN</w:t>
      </w:r>
      <w:r>
        <w:t xml:space="preserve"> </w:t>
      </w:r>
      <w:r>
        <w:t xml:space="preserve">— the</w:t>
      </w:r>
      <w:r>
        <w:t xml:space="preserve"> </w:t>
      </w:r>
      <w:r>
        <w:t xml:space="preserve">“</w:t>
      </w:r>
      <w:r>
        <w:t xml:space="preserve">issue</w:t>
      </w:r>
      <w:r>
        <w:t xml:space="preserve">”</w:t>
      </w:r>
      <w:r>
        <w:t xml:space="preserve"> </w:t>
      </w:r>
      <w:r>
        <w:t xml:space="preserve">view: primary headers + equipment + valves + tags + names.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PRINT_MONO</w:t>
      </w:r>
      <w:r>
        <w:t xml:space="preserve"> </w:t>
      </w:r>
      <w:r>
        <w:t xml:space="preserve">— drives the mono rendering path so a colour-free A3 plot still</w:t>
      </w:r>
      <w:r>
        <w:t xml:space="preserve"> </w:t>
      </w:r>
      <w:r>
        <w:t xml:space="preserve">conveys every class via names, weights and dash patterns (see Colour &amp; Legend Guide).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using-the-views"/>
    <w:p>
      <w:pPr>
        <w:pStyle w:val="Heading2"/>
      </w:pPr>
      <w:r>
        <w:t xml:space="preserve">4. Using the Views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In the SVG: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&lt;metadata id="minerva-frontmatter"&gt;</w:t>
      </w:r>
      <w:r>
        <w:t xml:space="preserve"> </w:t>
      </w:r>
      <w:r>
        <w:t xml:space="preserve">block lists each view and</w:t>
      </w:r>
      <w:r>
        <w:t xml:space="preserve"> </w:t>
      </w:r>
      <w:r>
        <w:t xml:space="preserve">its layer visibility map (machine-readable, inside a CDATA section so the YAML</w:t>
      </w:r>
      <w:r>
        <w:t xml:space="preserve"> </w:t>
      </w:r>
      <w:r>
        <w:rPr>
          <w:rStyle w:val="VerbatimChar"/>
        </w:rPr>
        <w:t xml:space="preserve">---</w:t>
      </w:r>
      <w:r>
        <w:t xml:space="preserve"> </w:t>
      </w:r>
      <w:r>
        <w:t xml:space="preserve">fences don’t break XML parsers).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In the HTML viewer:</w:t>
      </w:r>
      <w:r>
        <w:t xml:space="preserve"> </w:t>
      </w:r>
      <w:r>
        <w:t xml:space="preserve">select a preset from the</w:t>
      </w:r>
      <w:r>
        <w:t xml:space="preserve"> </w:t>
      </w:r>
      <w:r>
        <w:rPr>
          <w:bCs/>
          <w:b/>
        </w:rPr>
        <w:t xml:space="preserve">Views</w:t>
      </w:r>
      <w:r>
        <w:t xml:space="preserve"> </w:t>
      </w:r>
      <w:r>
        <w:t xml:space="preserve">control; the layer panel</w:t>
      </w:r>
      <w:r>
        <w:t xml:space="preserve"> </w:t>
      </w:r>
      <w:r>
        <w:t xml:space="preserve">updates to reflect which layers each preset enables. You can then fine-tune</w:t>
      </w:r>
      <w:r>
        <w:t xml:space="preserve"> </w:t>
      </w:r>
      <w:r>
        <w:t xml:space="preserve">individual layers on top of any preset.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INTERACTIVE_VIEWER_MANUAL.md</w:t>
      </w:r>
      <w:r>
        <w:t xml:space="preserve"> </w:t>
      </w:r>
      <w:r>
        <w:t xml:space="preserve">for step-by-step viewer instructions.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2026-06-03T20:02:24Z</dcterms:created>
  <dcterms:modified xsi:type="dcterms:W3CDTF">2026-06-03T20:02:24Z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