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eac1effcf60727e4f292096fdf154712b72607"/>
    <w:p>
      <w:pPr>
        <w:pStyle w:val="Heading1"/>
      </w:pPr>
      <w:r>
        <w:t xml:space="preserve">MINERVA CryoCell P&amp;ID — Colour Scheme Revision Guide (v5)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MINERVA CryoCell — SCK CEN · MYRRHA / MINERVA Phase 1</w:t>
      </w:r>
      <w:r>
        <w:t xml:space="preserve"> </w:t>
      </w:r>
      <w:r>
        <w:rPr>
          <w:bCs/>
          <w:b/>
        </w:rPr>
        <w:t xml:space="preserve">Consultant:</w:t>
      </w:r>
      <w:r>
        <w:t xml:space="preserve"> </w:t>
      </w:r>
      <w:r>
        <w:t xml:space="preserve">Mott MacDonald (Bristol, UK) ·</w:t>
      </w:r>
      <w:r>
        <w:t xml:space="preserve"> </w:t>
      </w:r>
      <w:r>
        <w:rPr>
          <w:bCs/>
          <w:b/>
        </w:rPr>
        <w:t xml:space="preserve">MMD</w:t>
      </w:r>
      <w:r>
        <w:t xml:space="preserve"> </w:t>
      </w:r>
      <w:r>
        <w:t xml:space="preserve">411066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S2 — FOR ACCEPTANCE ·</w:t>
      </w:r>
      <w:r>
        <w:t xml:space="preserve"> </w:t>
      </w:r>
      <w:r>
        <w:rPr>
          <w:bCs/>
          <w:b/>
        </w:rPr>
        <w:t xml:space="preserve">RESTRICTED</w:t>
      </w:r>
      <w:r>
        <w:t xml:space="preserve"> </w:t>
      </w:r>
      <w:r>
        <w:rPr>
          <w:bCs/>
          <w:b/>
        </w:rPr>
        <w:t xml:space="preserve">Standards:</w:t>
      </w:r>
      <w:r>
        <w:t xml:space="preserve"> </w:t>
      </w:r>
      <w:r>
        <w:t xml:space="preserve">SCK CEN AD_01.16 · ISO 10628 · ANSI/ISA-5.1-2022 · IEC 60617</w:t>
      </w:r>
    </w:p>
    <w:p>
      <w:r>
        <w:pict>
          <v:rect style="width:0;height:1.5pt" o:hralign="center" o:hrstd="t" o:hr="t"/>
        </w:pict>
      </w:r>
    </w:p>
    <w:bookmarkStart w:id="20" w:name="purpose-of-the-revision"/>
    <w:p>
      <w:pPr>
        <w:pStyle w:val="Heading2"/>
      </w:pPr>
      <w:r>
        <w:t xml:space="preserve">1. Purpose of the revision</w:t>
      </w:r>
    </w:p>
    <w:p>
      <w:pPr>
        <w:pStyle w:val="FirstParagraph"/>
      </w:pPr>
      <w:r>
        <w:t xml:space="preserve">The v5 revision replaces the legacy colour assignment (which used red for the</w:t>
      </w:r>
      <w:r>
        <w:t xml:space="preserve"> </w:t>
      </w:r>
      <w:r>
        <w:t xml:space="preserve">40 K shield and treated all helium circuits with broadly similar emphasis) with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cryogenic-focus palette</w:t>
      </w:r>
      <w:r>
        <w:t xml:space="preserve">. The guiding principle is that</w:t>
      </w:r>
      <w:r>
        <w:t xml:space="preserve"> </w:t>
      </w:r>
      <w:r>
        <w:rPr>
          <w:bCs/>
          <w:b/>
        </w:rPr>
        <w:t xml:space="preserve">colour now encodes</w:t>
      </w:r>
      <w:r>
        <w:rPr>
          <w:bCs/>
          <w:b/>
        </w:rPr>
        <w:t xml:space="preserve"> </w:t>
      </w:r>
      <w:r>
        <w:rPr>
          <w:bCs/>
          <w:b/>
        </w:rPr>
        <w:t xml:space="preserve">temperature</w:t>
      </w:r>
      <w:r>
        <w:t xml:space="preserve">: the coldest lines read coolest (deep blue / cyan), the thermal</w:t>
      </w:r>
      <w:r>
        <w:t xml:space="preserve"> </w:t>
      </w:r>
      <w:r>
        <w:t xml:space="preserve">shield reads warm (orange / red) and the warm piping system reads green / olive.</w:t>
      </w:r>
      <w:r>
        <w:t xml:space="preserve"> </w:t>
      </w:r>
      <w:r>
        <w:t xml:space="preserve">This makes the thermal hierarchy of the cryomodule legible at a glance, on A3</w:t>
      </w:r>
      <w:r>
        <w:t xml:space="preserve"> </w:t>
      </w:r>
      <w:r>
        <w:t xml:space="preserve">and after monochrome plotting.</w:t>
      </w:r>
    </w:p>
    <w:bookmarkEnd w:id="20"/>
    <w:bookmarkStart w:id="25" w:name="new-palette"/>
    <w:p>
      <w:pPr>
        <w:pStyle w:val="Heading2"/>
      </w:pPr>
      <w:r>
        <w:t xml:space="preserve">2. New palette</w:t>
      </w:r>
    </w:p>
    <w:p>
      <w:pPr>
        <w:pStyle w:val="FirstParagraph"/>
      </w:pPr>
      <w:r>
        <w:t xml:space="preserve">Lines are grouped into three temperature zones. Each</w:t>
      </w:r>
      <w:r>
        <w:t xml:space="preserve"> </w:t>
      </w:r>
      <w:r>
        <w:rPr>
          <w:bCs/>
          <w:b/>
        </w:rPr>
        <w:t xml:space="preserve">primary</w:t>
      </w:r>
      <w:r>
        <w:t xml:space="preserve"> </w:t>
      </w:r>
      <w:r>
        <w:t xml:space="preserve">(main) line has</w:t>
      </w:r>
      <w:r>
        <w:t xml:space="preserve"> </w:t>
      </w:r>
      <w:r>
        <w:t xml:space="preserve">a saturated hue; its</w:t>
      </w:r>
      <w:r>
        <w:t xml:space="preserve"> </w:t>
      </w:r>
      <w:r>
        <w:rPr>
          <w:bCs/>
          <w:b/>
        </w:rPr>
        <w:t xml:space="preserve">branch</w:t>
      </w:r>
      <w:r>
        <w:t xml:space="preserve"> </w:t>
      </w:r>
      <w:r>
        <w:t xml:space="preserve">lines (designator with a prime, e.g. </w:t>
      </w:r>
      <w:r>
        <w:rPr>
          <w:rStyle w:val="VerbatimChar"/>
        </w:rPr>
        <w:t xml:space="preserve">A′</w:t>
      </w:r>
      <w:r>
        <w:t xml:space="preserve">) use a</w:t>
      </w:r>
      <w:r>
        <w:t xml:space="preserve"> </w:t>
      </w:r>
      <w:r>
        <w:t xml:space="preserve">darker or lighter shade of the same hue.</w:t>
      </w:r>
    </w:p>
    <w:bookmarkStart w:id="21" w:name="cold-header-top-of-sheet"/>
    <w:p>
      <w:pPr>
        <w:pStyle w:val="Heading3"/>
      </w:pPr>
      <w:r>
        <w:t xml:space="preserve">Cold header (top of sheet)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244"/>
        <w:gridCol w:w="905"/>
        <w:gridCol w:w="565"/>
        <w:gridCol w:w="1018"/>
        <w:gridCol w:w="678"/>
        <w:gridCol w:w="1131"/>
        <w:gridCol w:w="678"/>
        <w:gridCol w:w="452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#0000FF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K primary helium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SS316L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K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SS316L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 primary helium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~47.5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SS316L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#008B8B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SS316L</w:t>
            </w:r>
          </w:p>
        </w:tc>
      </w:tr>
    </w:tbl>
    <w:bookmarkEnd w:id="21"/>
    <w:bookmarkStart w:id="22" w:name="thermal-shield"/>
    <w:p>
      <w:pPr>
        <w:pStyle w:val="Heading3"/>
      </w:pPr>
      <w:r>
        <w:t xml:space="preserve">Thermal shield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244"/>
        <w:gridCol w:w="905"/>
        <w:gridCol w:w="565"/>
        <w:gridCol w:w="1018"/>
        <w:gridCol w:w="678"/>
        <w:gridCol w:w="1131"/>
        <w:gridCol w:w="678"/>
        <w:gridCol w:w="452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 shield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orange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#FFB366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 shield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#CC0000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</w:t>
            </w:r>
          </w:p>
        </w:tc>
      </w:tr>
    </w:tbl>
    <w:bookmarkEnd w:id="22"/>
    <w:bookmarkStart w:id="23" w:name="warm-piping-system-wps-bottom-of-sheet"/>
    <w:p>
      <w:pPr>
        <w:pStyle w:val="Heading3"/>
      </w:pPr>
      <w:r>
        <w:t xml:space="preserve">Warm piping system (WPS) — bottom of sheet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244"/>
        <w:gridCol w:w="905"/>
        <w:gridCol w:w="565"/>
        <w:gridCol w:w="1018"/>
        <w:gridCol w:w="678"/>
        <w:gridCol w:w="1131"/>
        <w:gridCol w:w="678"/>
        <w:gridCol w:w="452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#00FF00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WPS warm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K → 300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#BFFF00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WPS service /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→ 292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#808000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WPS GHe supply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SS304</w:t>
            </w:r>
          </w:p>
        </w:tc>
      </w:tr>
    </w:tbl>
    <w:bookmarkEnd w:id="23"/>
    <w:bookmarkStart w:id="24" w:name="reference"/>
    <w:p>
      <w:pPr>
        <w:pStyle w:val="Heading3"/>
      </w:pPr>
      <w:r>
        <w:t xml:space="preserve">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1523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Outside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(dashed)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#808080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beyond the hand-over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/ DI-water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Green-blue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Cooling water utility</w:t>
            </w:r>
          </w:p>
        </w:tc>
      </w:tr>
    </w:tbl>
    <w:bookmarkEnd w:id="24"/>
    <w:bookmarkEnd w:id="25"/>
    <w:bookmarkStart w:id="26" w:name="old-new-mapping"/>
    <w:p>
      <w:pPr>
        <w:pStyle w:val="Heading2"/>
      </w:pPr>
      <w:r>
        <w:t xml:space="preserve">3. Old → new mapping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2"/>
        <w:gridCol w:w="1980"/>
        <w:gridCol w:w="1980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 (old)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 K primary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  <w:r>
              <w:t xml:space="preserve"> </w:t>
            </w:r>
            <w:r>
              <w:rPr>
                <w:rStyle w:val="VerbatimChar"/>
              </w:rPr>
              <w:t xml:space="preserve">#0000FF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#0000FF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— coldest reads coolest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K primary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cyan</w:t>
            </w:r>
            <w:r>
              <w:t xml:space="preserve"> </w:t>
            </w:r>
            <w:r>
              <w:rPr>
                <w:rStyle w:val="VerbatimChar"/>
              </w:rPr>
              <w:t xml:space="preserve">#00FFFF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cyan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#00FFFF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 K shield in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  <w:r>
              <w:t xml:space="preserve"> </w:t>
            </w:r>
            <w:r>
              <w:rPr>
                <w:rStyle w:val="VerbatimChar"/>
              </w:rPr>
              <w:t xml:space="preserve">#FF0000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orange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#FF8000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re-assigned to the</w:t>
            </w:r>
            <w:r>
              <w:t xml:space="preserve"> </w:t>
            </w:r>
            <w:r>
              <w:rPr>
                <w:iCs/>
                <w:i/>
              </w:rPr>
              <w:t xml:space="preserve">outlet</w:t>
            </w:r>
            <w:r>
              <w:t xml:space="preserve">; 40 K reads warm-orange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 K shield out 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(grouped / olive)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#FF0000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hottest cryo line gets the hottest hue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return (W)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  <w:r>
              <w:t xml:space="preserve"> </w:t>
            </w:r>
            <w:r>
              <w:rPr>
                <w:rStyle w:val="VerbatimChar"/>
              </w:rPr>
              <w:t xml:space="preserve">#00FF00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green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#00FF00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retained, now anchors the WPS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/ safety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#BFFF00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explicit WPS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GHe supply (U)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olive</w:t>
            </w:r>
            <w:r>
              <w:t xml:space="preserve"> </w:t>
            </w:r>
            <w:r>
              <w:rPr>
                <w:rStyle w:val="VerbatimChar"/>
              </w:rPr>
              <w:t xml:space="preserve">#808000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olive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#808000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</w:t>
            </w:r>
          </w:p>
        </w:tc>
      </w:tr>
    </w:tbl>
    <w:p>
      <w:pPr>
        <w:pStyle w:val="BodyText"/>
      </w:pPr>
      <w:r>
        <w:t xml:space="preserve">The key behavioural change:</w:t>
      </w:r>
      <w:r>
        <w:t xml:space="preserve"> </w:t>
      </w:r>
      <w:r>
        <w:rPr>
          <w:bCs/>
          <w:b/>
        </w:rPr>
        <w:t xml:space="preserve">red moved from the 40 K inlet to the 60 K outlet</w:t>
      </w:r>
      <w:r>
        <w:t xml:space="preserve">,</w:t>
      </w:r>
      <w:r>
        <w:t xml:space="preserve"> </w:t>
      </w:r>
      <w:r>
        <w:t xml:space="preserve">and the 40 K inlet became orange — so the shield pair D→E now reads as a clear</w:t>
      </w:r>
      <w:r>
        <w:t xml:space="preserve"> </w:t>
      </w:r>
      <w:r>
        <w:t xml:space="preserve">warm-up (orange → red) instead of two reds.</w:t>
      </w:r>
    </w:p>
    <w:bookmarkEnd w:id="26"/>
    <w:bookmarkStart w:id="27" w:name="branch-prime-shading-rule"/>
    <w:p>
      <w:pPr>
        <w:pStyle w:val="Heading2"/>
      </w:pPr>
      <w:r>
        <w:t xml:space="preserve">4. Branch (prime) shading rule</w:t>
      </w:r>
    </w:p>
    <w:p>
      <w:pPr>
        <w:numPr>
          <w:ilvl w:val="0"/>
          <w:numId w:val="1001"/>
        </w:numPr>
        <w:pStyle w:val="Compact"/>
      </w:pPr>
      <w:r>
        <w:t xml:space="preserve">Cold lines (A, B): branch =</w:t>
      </w:r>
      <w:r>
        <w:t xml:space="preserve"> </w:t>
      </w:r>
      <w:r>
        <w:rPr>
          <w:bCs/>
          <w:b/>
        </w:rPr>
        <w:t xml:space="preserve">darker</w:t>
      </w:r>
      <w:r>
        <w:t xml:space="preserve"> </w:t>
      </w:r>
      <w:r>
        <w:t xml:space="preserve">shade (</w:t>
      </w:r>
      <w:r>
        <w:rPr>
          <w:rStyle w:val="VerbatimChar"/>
        </w:rPr>
        <w:t xml:space="preserve">A′</w:t>
      </w:r>
      <w:r>
        <w:t xml:space="preserve"> </w:t>
      </w:r>
      <w:r>
        <w:t xml:space="preserve">navy,</w:t>
      </w:r>
      <w:r>
        <w:t xml:space="preserve"> </w:t>
      </w:r>
      <w:r>
        <w:rPr>
          <w:rStyle w:val="VerbatimChar"/>
        </w:rPr>
        <w:t xml:space="preserve">B′</w:t>
      </w:r>
      <w:r>
        <w:t xml:space="preserve"> </w:t>
      </w:r>
      <w:r>
        <w:t xml:space="preserve">teal).</w:t>
      </w:r>
    </w:p>
    <w:p>
      <w:pPr>
        <w:numPr>
          <w:ilvl w:val="0"/>
          <w:numId w:val="1001"/>
        </w:numPr>
        <w:pStyle w:val="Compact"/>
      </w:pPr>
      <w:r>
        <w:t xml:space="preserve">Thermal lines (D, E): branch =</w:t>
      </w:r>
      <w:r>
        <w:t xml:space="preserve"> </w:t>
      </w:r>
      <w:r>
        <w:rPr>
          <w:bCs/>
          <w:b/>
        </w:rPr>
        <w:t xml:space="preserve">lighter / darker</w:t>
      </w:r>
      <w:r>
        <w:t xml:space="preserve"> </w:t>
      </w:r>
      <w:r>
        <w:t xml:space="preserve">shade of the same hue</w:t>
      </w:r>
      <w:r>
        <w:t xml:space="preserve"> </w:t>
      </w:r>
      <w:r>
        <w:t xml:space="preserve">(</w:t>
      </w:r>
      <w:r>
        <w:rPr>
          <w:rStyle w:val="VerbatimChar"/>
        </w:rPr>
        <w:t xml:space="preserve">D′</w:t>
      </w:r>
      <w:r>
        <w:t xml:space="preserve"> </w:t>
      </w:r>
      <w:r>
        <w:t xml:space="preserve">light orange,</w:t>
      </w:r>
      <w:r>
        <w:t xml:space="preserve"> </w:t>
      </w:r>
      <w:r>
        <w:rPr>
          <w:rStyle w:val="VerbatimChar"/>
        </w:rPr>
        <w:t xml:space="preserve">E′</w:t>
      </w:r>
      <w:r>
        <w:t xml:space="preserve"> </w:t>
      </w:r>
      <w:r>
        <w:t xml:space="preserve">dark red).</w:t>
      </w:r>
    </w:p>
    <w:p>
      <w:pPr>
        <w:numPr>
          <w:ilvl w:val="0"/>
          <w:numId w:val="1001"/>
        </w:numPr>
        <w:pStyle w:val="Compact"/>
      </w:pPr>
      <w:r>
        <w:t xml:space="preserve">A run is classified</w:t>
      </w:r>
      <w:r>
        <w:t xml:space="preserve"> </w:t>
      </w:r>
      <w:r>
        <w:rPr>
          <w:bCs/>
          <w:b/>
        </w:rPr>
        <w:t xml:space="preserve">primary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branch</w:t>
      </w:r>
      <w:r>
        <w:t xml:space="preserve"> </w:t>
      </w:r>
      <w:r>
        <w:t xml:space="preserve">automatically using the</w:t>
      </w:r>
      <w:r>
        <w:t xml:space="preserve"> </w:t>
      </w:r>
      <w:r>
        <w:t xml:space="preserve">55th-percentile run-length threshold per class; primaries live on the main</w:t>
      </w:r>
      <w:r>
        <w:t xml:space="preserve"> </w:t>
      </w:r>
      <w:r>
        <w:t xml:space="preserve">piping layers (04/05/06) and branches on the</w:t>
      </w:r>
      <w:r>
        <w:t xml:space="preserve"> </w:t>
      </w:r>
      <w:r>
        <w:rPr>
          <w:rStyle w:val="VerbatimChar"/>
        </w:rPr>
        <w:t xml:space="preserve">_BRANCHES</w:t>
      </w:r>
      <w:r>
        <w:t xml:space="preserve"> </w:t>
      </w:r>
      <w:r>
        <w:t xml:space="preserve">layers (04B/05B/06B).</w:t>
      </w:r>
    </w:p>
    <w:bookmarkEnd w:id="27"/>
    <w:bookmarkStart w:id="28" w:name="where-the-scheme-is-applied"/>
    <w:p>
      <w:pPr>
        <w:pStyle w:val="Heading2"/>
      </w:pPr>
      <w:r>
        <w:t xml:space="preserve">5. Where the scheme is applied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Production sheets</w:t>
      </w:r>
      <w:r>
        <w:t xml:space="preserve"> </w:t>
      </w:r>
      <w:r>
        <w:t xml:space="preserve">— all 16 (QCELL + RFCELL × 2 sheets × STANDARD /</w:t>
      </w:r>
      <w:r>
        <w:t xml:space="preserve"> </w:t>
      </w:r>
      <w:r>
        <w:t xml:space="preserve">CONTROL-CENTRIC × colour / mono).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Zone bands</w:t>
      </w:r>
      <w:r>
        <w:t xml:space="preserve"> </w:t>
      </w:r>
      <w:r>
        <w:t xml:space="preserve">(layer</w:t>
      </w:r>
      <w:r>
        <w:t xml:space="preserve"> </w:t>
      </w:r>
      <w:r>
        <w:rPr>
          <w:rStyle w:val="VerbatimChar"/>
        </w:rPr>
        <w:t xml:space="preserve">02C_Zone_Bands</w:t>
      </w:r>
      <w:r>
        <w:t xml:space="preserve">) tint the sheet into cold-header,</w:t>
      </w:r>
      <w:r>
        <w:t xml:space="preserve"> </w:t>
      </w:r>
      <w:r>
        <w:t xml:space="preserve">thermal-shield, equipment and warm-WPS reading zones.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Line labels</w:t>
      </w:r>
      <w:r>
        <w:t xml:space="preserve"> </w:t>
      </w:r>
      <w:r>
        <w:t xml:space="preserve">(layer</w:t>
      </w:r>
      <w:r>
        <w:t xml:space="preserve"> </w:t>
      </w:r>
      <w:r>
        <w:rPr>
          <w:rStyle w:val="VerbatimChar"/>
        </w:rPr>
        <w:t xml:space="preserve">04D_Piping_LINE_LABELS</w:t>
      </w:r>
      <w:r>
        <w:t xml:space="preserve">) carry</w:t>
      </w:r>
      <w:r>
        <w:t xml:space="preserve"> </w:t>
      </w:r>
      <w:r>
        <w:rPr>
          <w:rStyle w:val="VerbatimChar"/>
        </w:rPr>
        <w:t xml:space="preserve">[LINE]-[SIZE]-[MOC]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Flow arrows</w:t>
      </w:r>
      <w:r>
        <w:t xml:space="preserve"> </w:t>
      </w:r>
      <w:r>
        <w:t xml:space="preserve">(layer</w:t>
      </w:r>
      <w:r>
        <w:t xml:space="preserve"> </w:t>
      </w:r>
      <w:r>
        <w:rPr>
          <w:rStyle w:val="VerbatimChar"/>
        </w:rPr>
        <w:t xml:space="preserve">04G_Flow_Arrows</w:t>
      </w:r>
      <w:r>
        <w:t xml:space="preserve">) are coloured per line.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Legend</w:t>
      </w:r>
      <w:r>
        <w:t xml:space="preserve"> </w:t>
      </w:r>
      <w:r>
        <w:t xml:space="preserve">— the on-sheet legend now contains the full</w:t>
      </w:r>
      <w:r>
        <w:t xml:space="preserve"> </w:t>
      </w:r>
      <w:r>
        <w:rPr>
          <w:bCs/>
          <w:b/>
        </w:rPr>
        <w:t xml:space="preserve">line specification</w:t>
      </w:r>
      <w:r>
        <w:rPr>
          <w:bCs/>
          <w:b/>
        </w:rP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(colour swatch, temperature, pressure, DN, MOC).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MAIN-LINES-ONLY</w:t>
      </w:r>
      <w:r>
        <w:t xml:space="preserve"> </w:t>
      </w:r>
      <w:r>
        <w:t xml:space="preserve">schematic and the</w:t>
      </w:r>
      <w:r>
        <w:t xml:space="preserve"> </w:t>
      </w:r>
      <w:r>
        <w:rPr>
          <w:rStyle w:val="VerbatimChar"/>
        </w:rPr>
        <w:t xml:space="preserve">VIEW_MAINLINES_ONLY</w:t>
      </w:r>
      <w:r>
        <w:t xml:space="preserve"> </w:t>
      </w:r>
      <w:r>
        <w:t xml:space="preserve">preset.</w:t>
      </w:r>
    </w:p>
    <w:bookmarkEnd w:id="28"/>
    <w:bookmarkStart w:id="29" w:name="monochrome-behaviour"/>
    <w:p>
      <w:pPr>
        <w:pStyle w:val="Heading2"/>
      </w:pPr>
      <w:r>
        <w:t xml:space="preserve">6. Monochrome behaviour</w:t>
      </w:r>
    </w:p>
    <w:p>
      <w:pPr>
        <w:pStyle w:val="FirstParagraph"/>
      </w:pPr>
      <w:r>
        <w:t xml:space="preserve">When colour is removed, the class hierarchy is carried by</w:t>
      </w:r>
      <w:r>
        <w:t xml:space="preserve"> </w:t>
      </w:r>
      <w:r>
        <w:rPr>
          <w:bCs/>
          <w:b/>
        </w:rPr>
        <w:t xml:space="preserve">line weight + dash</w:t>
      </w:r>
      <w:r>
        <w:rPr>
          <w:bCs/>
          <w:b/>
        </w:rPr>
        <w:t xml:space="preserve"> </w:t>
      </w:r>
      <w:r>
        <w:rPr>
          <w:bCs/>
          <w:b/>
        </w:rPr>
        <w:t xml:space="preserve">pattern</w:t>
      </w:r>
      <w:r>
        <w:t xml:space="preserve"> </w:t>
      </w:r>
      <w:r>
        <w:t xml:space="preserve">instead of hue: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 header (A/B)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mm primary / 0.6 mm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shield (D/E)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mm primary / 0.6 mm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WPS (W/S/U)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dashed (8,3)</w:t>
            </w:r>
          </w:p>
        </w:tc>
      </w:tr>
    </w:tbl>
    <w:p>
      <w:pPr>
        <w:pStyle w:val="BodyText"/>
      </w:pPr>
      <w:r>
        <w:t xml:space="preserve">This guarantees the drawing survives black-and-white plotting and photocopying</w:t>
      </w:r>
      <w:r>
        <w:t xml:space="preserve"> </w:t>
      </w:r>
      <w:r>
        <w:t xml:space="preserve">without loss of meaning.</w:t>
      </w:r>
    </w:p>
    <w:bookmarkEnd w:id="29"/>
    <w:bookmarkStart w:id="30" w:name="accessibility-plotting-notes"/>
    <w:p>
      <w:pPr>
        <w:pStyle w:val="Heading2"/>
      </w:pPr>
      <w:r>
        <w:t xml:space="preserve">7. Accessibility / plotting notes</w:t>
      </w:r>
    </w:p>
    <w:p>
      <w:pPr>
        <w:numPr>
          <w:ilvl w:val="0"/>
          <w:numId w:val="1003"/>
        </w:numPr>
        <w:pStyle w:val="Compact"/>
      </w:pPr>
      <w:r>
        <w:t xml:space="preserve">Blue↔cyan and orange↔red pairs were chosen to remain distinguishable by</w:t>
      </w:r>
      <w:r>
        <w:t xml:space="preserve"> </w:t>
      </w:r>
      <w:r>
        <w:t xml:space="preserve">position (zone bands) even for colour-vision-deficient readers; the mono</w:t>
      </w:r>
      <w:r>
        <w:t xml:space="preserve"> </w:t>
      </w:r>
      <w:r>
        <w:t xml:space="preserve">weight/dash system is the formal fallback.</w:t>
      </w:r>
    </w:p>
    <w:p>
      <w:pPr>
        <w:numPr>
          <w:ilvl w:val="0"/>
          <w:numId w:val="1003"/>
        </w:numPr>
        <w:pStyle w:val="Compact"/>
      </w:pPr>
      <w:r>
        <w:t xml:space="preserve">All hex values above are the controlled source-of-truth and match</w:t>
      </w:r>
      <w:r>
        <w:t xml:space="preserve"> </w:t>
      </w:r>
      <w:r>
        <w:rPr>
          <w:rStyle w:val="VerbatimChar"/>
        </w:rPr>
        <w:t xml:space="preserve">generator/line_spec_data.py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LINE_SPECIFICATION_MASTER.xlsx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2026-06-03T20:29:29Z</dcterms:created>
  <dcterms:modified xsi:type="dcterms:W3CDTF">2026-06-03T20:29:29Z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